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DCSO/251/2023 vom 8. Juni 2023</w:t>
      </w:r>
    </w:p>
    <w:p>
      <w:r>
        <w:t>GE Cour de justice, 2023-06-08, FR</w:t>
      </w:r>
    </w:p>
    <w:p>
      <w:r>
        <w:rPr>
          <w:b/>
        </w:rPr>
        <w:t xml:space="preserve">Quelle: </w:t>
      </w:r>
      <w:r>
        <w:t>https://mcp.opencaselaw.ch/entscheid/ge_gerichte_DCSO_251_2023</w:t>
      </w:r>
    </w:p>
    <w:p>
      <w:r>
        <w:t>FR: GE_GERICHTE DCSO/251/2023 du 8 juin 2023</w:t>
      </w:r>
    </w:p>
    <w:p>
      <w:r>
        <w:t>IT: GE_GERICHTE DCSO/251/2023 del 8 giugno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de séquestre, et par une partie lésée dans ses intérêts (ATF 138 III 219 consid. 2.3; 129 III 595 consid. 3; 120 III 42 consid. 3), la plainte est recevable.</w:t>
      </w:r>
    </w:p>
    <w:p>
      <w:r>
        <w:rPr>
          <w:b/>
        </w:rPr>
        <w:t>E. 2</w:t>
      </w:r>
    </w:p>
    <w:p>
      <w:r>
        <w:t>let. e LDIP (arrêt du Tribunal fédéral 4A_634/2014 du 21 mai 2015, consid. 5.2.2).</w:t>
      </w:r>
    </w:p>
    <w:p>
      <w:r>
        <w:rPr>
          <w:b/>
        </w:rPr>
        <w:t>E. 2.2</w:t>
      </w:r>
    </w:p>
    <w:p>
      <w:r>
        <w:t>En l'espèce, comme exposé ci-dessus, la Chambre de surveillance n'est en principe pas compétente pour statuer sur le bien-fondé du séquestre litigieux, notamment sur le montant de la créance et des intérêts y relatifs, qui résultent directement de l'ordonnance de séquestre. C'est par la voie de l'opposition à séquestre que les critiques à l'encontre du montant de la créance peuvent être soulevées.</w:t>
      </w:r>
    </w:p>
    <w:p>
      <w:r>
        <w:t>L'ordonnance de séquestre n'apparaît par ailleurs pas comme indubitablement nulle. D'une part, le principe de l'interdiction de l'anatocisme consacré à l'art. 105 al. 3 CO ne constitue pas une disposition impérative édictée dans l'intérêt public. D'autre part, la somme des montants nominaux (hors intérêts) que la plaignante a été condamnée à payer à l'intimée selon la sentence arbitrale du 12 mai 2022, convertis en francs suisses (selon les cours de change en vigueur en octobre</w:t>
      </w:r>
    </w:p>
    <w:p>
      <w:r>
        <w:t>- 5/8 -</w:t>
      </w:r>
    </w:p>
    <w:p>
      <w:r>
        <w:t>A/3659/2022-CS 2022), est supérieure à 1'000'000 fr. (206'952 fr. + 42'617 fr. + 127'720 fr. + 677'680 fr.), de sorte qu'il n'est pas manifeste que la créance mentionnée dans l'ordonnance de séquestre de 872'586 fr. 61 serait nulle.</w:t>
      </w:r>
    </w:p>
    <w:p>
      <w:r>
        <w:t>A supposer qu'il soit recevable, ce premier moyen s'avère infondé et sera rejeté.</w:t>
      </w:r>
    </w:p>
    <w:p>
      <w:r>
        <w:rPr>
          <w:b/>
        </w:rPr>
        <w:t>E. 3</w:t>
      </w:r>
    </w:p>
    <w:p>
      <w:r>
        <w:t>3.1.1 Selon les art. 97 al. 1 et 275 LP, l'office des poursuites appelé à exécuter un séquestre ne doit le faire porter que sur les biens nécessaires pour satisfaire, en capital, intérêts et frais, les créanciers séquestrants. Afin de respecter cette injonction, l'office doit d'une part estimer la valeur des actifs séquestrés (art. 97 al. 1 LP) et la mentionner au procès-verbal de séquestre (art. 276 al. 1 LP). Il doit d'autre part fixer l'assiette du séquestre, soit le montant nécessaire et suffisant pour satisfaire le créancier séquestrant, compte tenu de la durée probable et du coût de la procédure d'exécution forcée.</w:t>
      </w:r>
    </w:p>
    <w:p>
      <w:r>
        <w:t>L'art. 95 al. 1 LP, qui règle l'ordre dans lequel les avoirs d'un débiteur doivent être saisis, est applicable par analogie à l'exécution du séquestre (art. 275 LP).</w:t>
      </w:r>
    </w:p>
    <w:p>
      <w:r>
        <w:t>Selon le texte légal (art. 97 al. 2 LP),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de la dernière réalisation (art. 144 al. 4 LP; OCHSNER, Exécution du séquestre, in JT 2006 II 77,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w:t>
      </w:r>
    </w:p>
    <w:p>
      <w:r>
        <w:t>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(DE GOTTRAU, in CR LP, n° 18 ad art. 97 LP, avec les références citées).</w:t>
      </w:r>
    </w:p>
    <w:p>
      <w:r>
        <w:t>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w:t>
      </w:r>
    </w:p>
    <w:p>
      <w:r>
        <w:t>- 6/8 -</w:t>
      </w:r>
    </w:p>
    <w:p>
      <w:r>
        <w:t>A/3659/2022-CS d'espèce, en particulier du risque que les biens qu'il renonce à séquestrer – ou qu'il libère après les avoir dans un premier temps séquestrés – disparaissent après avoir été remis à la libre disposition du débiteur séquestré (ATF 129 III 2013 consid. 2.3; 120 III 49 consid. 2a; OCHSNER, op. cit. p. 113).</w:t>
      </w:r>
    </w:p>
    <w:p>
      <w:r>
        <w:t>3.1.2 Pour le calcul des intérêts, la pratique à Genève consiste à déterminer la portée du séquestre en tenant compte d'une période d'intérêts pouvant aller jusqu'à dix ans à compter du jour de l'autorisation de séquestre. La période de dix ans retenue par l'office des poursuites genevois peut paraître longue, voire excessive; il ne s'agit cependant pas d'une règle absolue. La durée probable de la procédure doit être appréciée selon les circonstances du cas d'espèce et le calcul de l'office peut par conséquent retenir une durée plus courte, par exemple parce que le procès au fond est déjà pendant ou parce que la créance à l'origine du séquestre a déjà été constatée judiciairement (OCHSNER, op. cit. p. 111-112).</w:t>
      </w:r>
    </w:p>
    <w:p>
      <w:r>
        <w:t>La Chambre de surveillance a confirmé que l'Office n'avait pas abusé de son pouvoir d'appréciation en retenant une durée de dix ans pour le calcul des intérêts (DCSO/244/2015 du 20 août 2015; DCSO/117/2009 du 26 février 2009).</w:t>
      </w:r>
    </w:p>
    <w:p>
      <w:r>
        <w:rPr>
          <w:b/>
        </w:rPr>
        <w:t>E. 3.2</w:t>
      </w:r>
    </w:p>
    <w:p>
      <w:r>
        <w:t>En l'espèce, l'Office a fixé l'assiette provisoire du séquestre à 1'459'000 fr., comprenant le montant de la créance en capital de 872'585 fr. 61 indiqué dans l'ordonnance de séquestre, majoré des intérêts à 10% sur cinq ans, ainsi que des frais de poursuite et judiciaires estimés. Hormis la critique relative à l'interdiction de l'anatocisme déjà examinée ci-dessus, la plaignante n'expose pas concrètement en quoi le montant de l'assiette provisoire du séquestre serait excessif, en particulier s'agissant de la période d'intérêts, estimée à cinq ans, ce qui est raisonnable, au vu de la pratique de l'Office pouvant aller jusqu'à 10 ans. La plaignante n'explique pas non plus pour quelle raison les frais – judiciaires et de poursuite - prévisibles ne devraient pas être comptabilisés. Son grief doit donc être écarté sur ce point.</w:t>
      </w:r>
    </w:p>
    <w:p>
      <w:r>
        <w:t>En ce qui concerne la valeur des actifs séquestrés, l'estimation opérée par l'Office, consistant à diviser par deux le prix de catalogue des montres, n'apparaît pas excessivement prudente, s'agissant d'objets de luxe soumis aux aléas du marché et de la mode. La plaignante n'avance à ce sujet aucune indication susceptible de venir corroborer une valeur supérieure de ces actifs. De plus, l'on ignore à ce stade si le séquestre du compte bancaire a porté et dans quelle mesure.</w:t>
      </w:r>
    </w:p>
    <w:p>
      <w:r>
        <w:t>En l'état des informations en possession de l'Office au moment de l'établissement du procès-verbal de séquestre, la valeur des actifs séquestrés n'excédait ainsi pas 1'336'000 fr., soit un montant inférieur à l'assiette du séquestre.</w:t>
      </w:r>
    </w:p>
    <w:p>
      <w:r>
        <w:t>Le grief est ainsi mal fondé et la plainte doit donc être rejetée.</w:t>
      </w:r>
    </w:p>
    <w:p>
      <w:r>
        <w:rPr>
          <w:b/>
        </w:rPr>
        <w:t>E. 4</w:t>
      </w:r>
    </w:p>
    <w:p>
      <w:r>
        <w:t>La procédure de plainte est gratuite (art. 20a al. 2 ch. 5 LP et art. 61 al. 2 let. a OELP) et il ne peut être alloué aucun dépens dans cette procédure (art. 62 al. 2 OELP).</w:t>
      </w:r>
    </w:p>
    <w:p>
      <w:r>
        <w:t>- 7/8 -</w:t>
      </w:r>
    </w:p>
    <w:p>
      <w:r>
        <w:t>A/3659/2022-CS * * * * *</w:t>
      </w:r>
    </w:p>
    <w:p>
      <w:r>
        <w:t>- 8/8 -</w:t>
      </w:r>
    </w:p>
    <w:p>
      <w:r>
        <w:t>A/3659/2022-CS PAR CES MOTIFS, La Chambre de surveillance : A la forme : Déclare recevable la plainte formée le 4 novembre 2022 par A______ SA contre le procès-verbal de séquestre n° 4______ établi par l'Office cantonal des poursuites le 24 octobre 2022. Au fond : La rejette. Siégeant : Madame Verena PEDRAZZINI RIZZI, présidente; Madame Natalie OPPATJA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