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DCSO/250/2017 vom 4. Mai 2017</w:t>
      </w:r>
    </w:p>
    <w:p>
      <w:r>
        <w:t>GE Cour de justice, 2017-05-04, FR</w:t>
      </w:r>
    </w:p>
    <w:p>
      <w:r>
        <w:rPr>
          <w:b/>
        </w:rPr>
        <w:t xml:space="preserve">Quelle: </w:t>
      </w:r>
      <w:r>
        <w:t>https://mcp.opencaselaw.ch/entscheid/ge_gerichte_DCSO_250_2017</w:t>
      </w:r>
    </w:p>
    <w:p>
      <w:r>
        <w:t>FR: GE_GERICHTE DCSO/250/2017 du 4 mai 2017</w:t>
      </w:r>
    </w:p>
    <w:p>
      <w:r>
        <w:t>IT: GE_GERICHTE DCSO/250/2017 del 4 maggio 2017</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w:t>
      </w:r>
    </w:p>
    <w:p>
      <w:r>
        <w:t>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w:t>
      </w:r>
    </w:p>
    <w:p>
      <w:r>
        <w:rPr>
          <w:b/>
        </w:rPr>
        <w:t>E. 1.2</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w:t>
      </w:r>
    </w:p>
    <w:p>
      <w:r>
        <w:t>Selon la jurisprudence (ATF 103 III 21 consid. 1; 101 III 43 consid. 1; 95 III 25 consid. 2; 94 III 83 consid. 3; arrêt du Tribunal fédéral 5A_50/2015 du 28 septembre 2015 consid. 3.2), le failli a qualité pour contester par la voie de la plainte une décision de l'administration de la faillite ou des créanciers s'il est touché dans ses droits ou intérêts juridiquement protégés, ce qui est notamment le cas lorsque cette décision est contraire aux dispositions légales visant à assurer la réalisation la plus avantageuse possible des actifs tombant dans la masse. L'arbitraire, l'abus ou l'excès du pouvoir d'appréciation dont dispose l'administration de la masse ou l'assemblée des créanciers doivent, dans ce contexte, être assimilés à une violation de la loi, mais le failli ne peut contester l'opportunité de la décision.</w:t>
      </w:r>
    </w:p>
    <w:p>
      <w:r>
        <w:t>En application de ces principes, la qualité du failli pour former une plainte a été admise pour des décisions portant sur des mesures de réalisation des actifs (ATF 101 III 43 consid. 1), des mesures conservatoires (ATF 94 III 83 consid. 3), et le choix du mode de liquidation de la faillite (arrêt du Tribunal fédéral 5A_50/2015 précité, consid. 3.2.2).</w:t>
      </w:r>
    </w:p>
    <w:p>
      <w:r>
        <w:t>Le fait que le failli soit une personne morale, dont la faillite a entraîné la dissolution (art. 736 ch. 3 CO), ne l'empêche pas de former une plainte si elle est</w:t>
      </w:r>
    </w:p>
    <w:p>
      <w:r>
        <w:t>- 7/9 -</w:t>
      </w:r>
    </w:p>
    <w:p>
      <w:r>
        <w:t>A/4097/2016-CS en désaccord avec l'administration de la faillite ou l'assemblée des créanciers. Elle agit alors par ses organes, conformément à l'art. 740 al. 5 CO (ATF 88 III 28 consid. 2a).</w:t>
      </w:r>
    </w:p>
    <w:p>
      <w:r>
        <w:rPr>
          <w:b/>
        </w:rPr>
        <w:t>E. 1.3</w:t>
      </w:r>
    </w:p>
    <w:p>
      <w:r>
        <w:t>La plainte a en l'espèce été déposée dans les forme et délai prévus par la loi.</w:t>
      </w:r>
    </w:p>
    <w:p>
      <w:r>
        <w:t>La décision contestée a été rendue par l'administration de la faillite dans le cadre des compétences dont elle dispose selon l'art. 240 LP. A ce titre, elle peut en principe être attaquée par la voie de la plainte (JEANDIN/FISCHER, in CR LP, n° 8 ad art. 240 LP). Il y a par ailleurs lieu d'admettre que, à l'instar d'une décision portant sur le mode de réalisation d'un actif ou la prise d'une mesure conservatoire, elle est susceptible d'avoir des conséquences sur le résultat de la liquidation, ne serait-ce que dans la mesure où elle implique l'évacuation de tiers dont il n'est pas totalement exclu qu'ils puissent faire valoir des prétentions dans ou contre la masse; la faillie fait par ailleurs valoir que cette décision emporte le risque de disparition d'un actif de la masse, soit la prétention tendant au transfert de propriété de l'immeuble mis à sa disposition en 2014. Il en résulte que, pour autant qu'elle invoque une violation des dispositions légales relatives à la liquidation, l'arbitraire, un abus ou un excès du pouvoir d'appréciation de l'administration de la faillite, la faillie, alors touchée dans ses intérêts ou droits juridiquement protégés, devrait se voir reconnaître la qualité pour recourir.</w:t>
      </w:r>
    </w:p>
    <w:p>
      <w:r>
        <w:t>Il ressort à cet égard de la plainte que la faillie ne reproche pas à l'Office, qui assume les fonctions d'administration de la faillite, d'avoir violé une disposition légale. Elle ne fait pas davantage valoir que la décision contestée serait arbitraire, ou que l'Office, en la prenant, aurait abusé ou excédé son pouvoir d'appréciation. Les griefs invoqués ont ainsi trait à l'inopportunité de la décision, laquelle, selon la plaignante, serait préjudiciable aux intérêts de la masse et aux siens. De tels griefs ne pouvant toutefois être soulevés par la faillie dans le cadre de la contestation d'une décision de l'administration de la faillite, la plainte doit être déclarée irrecevable.</w:t>
      </w:r>
    </w:p>
    <w:p>
      <w:r>
        <w:rPr>
          <w:b/>
        </w:rPr>
        <w:t>E. 2</w:t>
      </w:r>
    </w:p>
    <w:p>
      <w:r>
        <w:t>A supposer qu'elle eût été recevable, la plainte aurait dû être rejetée. Bien qu'elle se présente formellement sous la forme d'une transaction judiciaire, la décision attaquée porte matériellement sur la restitution à leur propriétaire de locaux mis à la disposition de la faillie en 2014 et occupés, au moment de la décision attaquée, par des tiers autorisés. Comme le souligne l'Office, un refus de restitution, qui se serait traduit par une opposition à l'action en évacuation introduite par l'intimée, aurait emporté le risque concret de faire supporter à la masse, au titre de dettes de la masse, des indemnités pour occupation illicite en relation avec des locaux occupés – apparemment sans contrepartie financière – par des tiers. La décision contestée n'apparaît donc ni inopportune ni, a fortiori, constitutive d'arbitraire ou d'abus de pouvoir d'appréciation.</w:t>
      </w:r>
    </w:p>
    <w:p>
      <w:r>
        <w:t>- 8/9 -</w:t>
      </w:r>
    </w:p>
    <w:p>
      <w:r>
        <w:t>A/4097/2016-CS</w:t>
      </w:r>
    </w:p>
    <w:p>
      <w:r>
        <w:t>Les arguments soulevés par la plaignante pour contester le caractère opportun de la restitution des locaux mis à disposition de la faillie ne convainquent pour leur part pas.</w:t>
      </w:r>
    </w:p>
    <w:p>
      <w:r>
        <w:t>Le risque que les tiers évacués puissent élever des prétentions à l'encontre de la masse apparaît ainsi assez théorique, dès lors que leur présence dans les locaux mis à disposition de la faillie semblait relever plus d'une tolérance de la part de cette dernière que d'une prestation contractuellement promise. Même fondées, de telles prétentions ne sauraient en tout état égaler les montants que la masse s'exposerait à devoir payer au titre d'indemnités pour occupation illicite.</w:t>
      </w:r>
    </w:p>
    <w:p>
      <w:r>
        <w:t>Pour le surplus, ni la restitution des locaux ni le fait qu'elle fasse l'objet d'un accord formalisé devant une juridiction spécialisée en matière de baux et loyers n'a d'influence directe sur l'existence – et l'invocation par la faillie – de prétentions fondées sur la convention du 14 avril 2014 tendant au transfert de la propriété de l'immeuble mis à disposition. Il appartiendra au juge du fond de statuer sur la recevabilité de la demande introduite au nom de la faillie par l'administrateur de celle-ci ainsi que, le cas échéant, sur le bien-fondé des prétentions invoquées.</w:t>
      </w:r>
    </w:p>
    <w:p>
      <w:r>
        <w:t>Enfin, le risque que l'intimée aliène l'immeuble avant que l'issue de cette action ne soit connue est indépendant de la décision contestée, dans la mesure où, en l'absence de mesures provisionnelles prononcées par le juge civil, rien ne s'opposait à une vente de l'immeuble alors qu'il était occupé.</w:t>
      </w:r>
    </w:p>
    <w:p>
      <w:r>
        <w:rPr>
          <w:b/>
        </w:rPr>
        <w:t>E. 3</w:t>
      </w:r>
    </w:p>
    <w:p>
      <w:r>
        <w:t>La procédure de plainte est gratuite (art. 20a al. 2 ch. 5 LP et art. 61 al. 2 let. a OELP) et il ne peut être alloué aucuns dépens dans cette procédure (art. 62 al. 2 OELP). * * * * *</w:t>
      </w:r>
    </w:p>
    <w:p>
      <w:r>
        <w:t>- 9/9 -</w:t>
      </w:r>
    </w:p>
    <w:p>
      <w:r>
        <w:t>A/4097/2016-CS PAR CES MOTIFS, La Chambre de surveillance : A la forme : Déclare irrecevable la plainte formée le 30 novembre 2016 par A______ SA EN LIQUIDATION, agissant par son administrateur B______, contre la décision de ne pas s'opposer à l'évacuation de l'immeuble sis D______ prise le 25 novembre 2016 par l'Office des faillites, agissant en qualité d'administration de la faillite. Siégeant : Monsieur Patrick CHENAUX, président; Messieurs Georges ZUFFEREY et Christian CHAVAZ, juges assesseurs, juges assesseurs;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