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DCSO/24/2016 vom 21. Januar 2016</w:t>
      </w:r>
    </w:p>
    <w:p>
      <w:r>
        <w:t>GE Cour de justice, 2016-01-21, FR</w:t>
      </w:r>
    </w:p>
    <w:p>
      <w:r>
        <w:rPr>
          <w:b/>
        </w:rPr>
        <w:t xml:space="preserve">Quelle: </w:t>
      </w:r>
      <w:r>
        <w:t>https://mcp.opencaselaw.ch/entscheid/ge_gerichte_DCSO_24_2016</w:t>
      </w:r>
    </w:p>
    <w:p>
      <w:r>
        <w:t>FR: GE_GERICHTE DCSO/24/2016 du 21 janvier 2016</w:t>
      </w:r>
    </w:p>
    <w:p>
      <w:r>
        <w:t>IT: GE_GERICHTE DCSO/24/2016 del 21 gennaio 2016</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non attaquables par la voie judiciaire (art. 17 al. 1 LP), tel le refus de tenir compte d'une opposition. Formée, par ailleurs, dans les dix jours suivant la réception des décisions attaquées (art. 17 al. 2 LP) et respectant les exigences de forme (art. 9 al. 1 LaLP et art. 65 al. 1 et 2 LPA applicable par renvoi de l'art. 9 al. 4 LaLP), la plainte est recevable.</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(Roland RUEDIN, in CR-LP, ad art. 72 n° 2; Karl WÜTHRICH/Peter SCHOCH, in SchKG I, 2ème éd., ad art. 72 n° 11 s.; Walter A. STOFFEL/Isabelle CHABLOZ, Voies d'exécution, 2ème éd., § 3 n° 21 ss).</w:t>
      </w:r>
    </w:p>
    <w:p>
      <w:r>
        <w:t>- 3/5 -</w:t>
      </w:r>
    </w:p>
    <w:p>
      <w:r>
        <w:t>A/3866/2015-CS L'art. 64 al. 1 in fine LP prescrit que si le débiteur est absent, l'acte peut être remis à une personne adulte de son ménage. Une personne adulte du ménage du destinataire est celle qui vit avec ce dernier et qui fait partie de son économie domestique. La notification est réputée effectuée au moment où l'acte est remis au récipiendaire (Charles JAQUES, De la notification des actes de poursuites, in BlSchK 2011 p. 177 ss, ch. 5.1 p. 184-185 et les réf. citées).</w:t>
      </w:r>
    </w:p>
    <w:p>
      <w:r>
        <w:rPr>
          <w:b/>
        </w:rPr>
        <w:t>E. 2.2</w:t>
      </w:r>
    </w:p>
    <w:p>
      <w:r>
        <w:t>En l'espèce, il n'est pas contesté que les deux commandements de payer ont été régulièrement notifiés, le 30 septembre 2015 en mains de l'épouse du plaignant. Le délai de 10 jours pour former opposition arrivait ainsi à échéance le 12 octobre 2015 (art. 74 al. 1 LP). C'est donc à juste titre que l'Office a retenu que les oppositions aux commandements de payer, formées le 26 octobre 2015, étaient tardives. Mal fondée, la plainte doit être rejetée.</w:t>
      </w:r>
    </w:p>
    <w:p>
      <w:r>
        <w:rPr>
          <w:b/>
        </w:rPr>
        <w:t>E. 3.1</w:t>
      </w:r>
    </w:p>
    <w:p>
      <w:r>
        <w:t>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(GILLIÉRON, Poursuite pour dettes, faillite et concordat, 4e éd., n° 707). Cette disposition est applicable à la restitution du délai de dix jours pour former opposition à un commandement de payer (art. 74 al. 1 LP; JAEGER/WALDER/KULL/KOTTMANN,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(GILLIÉRON, Commentaire, ad art. 33 n° 40;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En revanche, une absence momentanée ou une brève maladie ne constituent pas un motif de restitution du délai (cf. POUDRET, Commentaire de la loi fédérale d'organisation judiciaire, vol. I, ad art. 35 p. 247 et ss.).</w:t>
      </w:r>
    </w:p>
    <w:p>
      <w:r>
        <w:rPr>
          <w:b/>
        </w:rPr>
        <w:t>E. 3.2</w:t>
      </w:r>
    </w:p>
    <w:p>
      <w:r>
        <w:t>En l'espèce, alléguant avoir été en déplacement professionnel à l'étranger, le plaignant n'invoque aucun empêchement au sens précité. En effet, ses absences professionnelles ne sont pas comparables à un empêchement non fautif, tel un accident ou une maladie soudaine. Par ailleurs, le plaignant aurait pu former</w:t>
      </w:r>
    </w:p>
    <w:p>
      <w:r>
        <w:t>- 4/5 -</w:t>
      </w:r>
    </w:p>
    <w:p>
      <w:r>
        <w:t>A/3866/2015-CS opposition le 6 ou 7 octobre 2015 lorsqu'il était à Genève. En outre, quand bien même il aurait également été à l'étranger ces deux jours, il lui incombait de prendre les dispositions qui s'imposaient pour assurer la gestion de ses affaires pendant son absence. De surcroît, son épouse, à qui le commandement de payer a été valablement notifié, aurait été habilitée à former opposition soit immédiatement lors de la notification, soit dans le délai de dix jours de l'art. 74 al. 1 LP. Dans ces conditions, la requête en restitution du délai pour former opposition sera rejetée.</w:t>
      </w:r>
    </w:p>
    <w:p>
      <w:r>
        <w:rPr>
          <w:b/>
        </w:rPr>
        <w:t>E. 4</w:t>
      </w:r>
    </w:p>
    <w:p>
      <w:r>
        <w:t>La procédure de plainte est gratuite. * * * * *</w:t>
      </w:r>
    </w:p>
    <w:p>
      <w:r>
        <w:t>- 5/5 -</w:t>
      </w:r>
    </w:p>
    <w:p>
      <w:r>
        <w:t>A/3866/2015-CS PAR CES MOTIFS, La Chambre de surveillance : A la forme : Déclare recevable la plainte formée le 5 novembre 2015 par M. T______ contre les décisions de l'Office des poursuites déclarant tardives les oppositions formées aux commandements de payer, poursuites nos 15 xxxx76 A et 15 xxxx35 W. Au fond : La rejette. Siégeant : Madame Florence KRAUSKOPF, présidente; Monsieur Georges ZUFFEREY et Monsieur Christian CHAVAZ, juges assesseurs; Madame Angela FERRECCHIA PICCIOLI,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