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DCSO/246/2024 vom 4. Juni 2024</w:t>
      </w:r>
    </w:p>
    <w:p>
      <w:r>
        <w:t>GE Cour de justice, 2024-06-04, FR</w:t>
      </w:r>
    </w:p>
    <w:p>
      <w:r>
        <w:rPr>
          <w:b/>
        </w:rPr>
        <w:t xml:space="preserve">Quelle: </w:t>
      </w:r>
      <w:r>
        <w:t>https://mcp.opencaselaw.ch/entscheid/ge_gerichte_DCSO_246_2024</w:t>
      </w:r>
    </w:p>
    <w:p>
      <w:r>
        <w:t>FR: GE_GERICHTE DCSO/246/2024 du 4 juin 2024</w:t>
      </w:r>
    </w:p>
    <w:p>
      <w:r>
        <w:t>IT: GE_GERICHTE DCSO/246/2024 del 4 giugno 2024</w:t>
      </w:r>
    </w:p>
    <w:p>
      <w:pPr>
        <w:pStyle w:val="Heading2"/>
      </w:pPr>
      <w:r>
        <w:t>Erwägungen</w:t>
      </w:r>
    </w:p>
    <w:p>
      <w:r>
        <w:rPr>
          <w:b/>
        </w:rPr>
        <w:t>E. 1</w:t>
      </w:r>
    </w:p>
    <w:p>
      <w:r>
        <w:t>Aux termes de l'article 70 LPA, applicable à la procédure devant la Chambre de surveillance en vertu des articles 9 al. 4 LaLP et 20a al. 3 LP, l'autorité peut, d'office ou sur requête, joindre des procédures se rapportant à une situation identique ou à une cause juridique commune. En l'espèce, les causes A/1122/2024 et A/435/2024, même si elles n'opposent pas les mêmes parties, reposent sur un complexe de fait similaire. Le même grief est soulevé par la plaignante dans les deux causes et la solution aux deux litiges implique le recours aux mêmes principes juridiques. Il y a par conséquent lieu de joindre les deux procédures.</w:t>
      </w:r>
    </w:p>
    <w:p>
      <w:r>
        <w:rPr>
          <w:b/>
        </w:rPr>
        <w:t>E. 2</w:t>
      </w:r>
    </w:p>
    <w:p>
      <w:r>
        <w:t>La plaignante a choisi de déposer ses plaintes contre les notifications des commandements de payer litigieux auprès de l'Office en sachant que celui-ci n'était pas compétent pour en connaître et en l'enjoignant de les transmettre à l'autorité compétente s'il n'entendait pas reconsidérer sa décision.</w:t>
      </w:r>
    </w:p>
    <w:p>
      <w:r>
        <w:t>- 4/6 -</w:t>
      </w:r>
    </w:p>
    <w:p>
      <w:r>
        <w:t>A/435/2024-CS</w:t>
      </w:r>
    </w:p>
    <w:p>
      <w:r>
        <w:rPr>
          <w:b/>
        </w:rPr>
        <w:t>E. 2.1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w:t>
      </w:r>
    </w:p>
    <w:p>
      <w:r>
        <w:rPr>
          <w:b/>
        </w:rPr>
        <w:t>E. 2.2</w:t>
      </w:r>
    </w:p>
    <w:p>
      <w:r>
        <w:t>En application de l'art. 32 al. 2 LP, un acte déposé en temps utile auprès d'une autorité de poursuite incompétente – office des poursuites, des faillites ou autorité de surveillance –, notamment une plainte au sens de l'art. 17 LP, est réputé respecter le délai; l'autorité incompétente communique l'acte à l'autorité compétente sans retard.</w:t>
      </w:r>
    </w:p>
    <w:p>
      <w:r>
        <w:t>L'application de l'art. 32 al. 2 LP suppose que le déposant se soit trouvé dans l'erreur sur l'autorité qu'il devait saisir ou, autrement dit, qu'il ait cru de bonne foi adresser son acte à l'autorité compétente pour en connaître. Le fait pour un justiciable de s'adresser consciemment et volontairement à une autorité incompétente alors que l'autorité compétente lui est connue doit à cet égard être qualifié d'abus de droit (ATF 145 III 487 consid. 3.4.5; 100 III 8 et 130 III 515 consid. 4; arrêt du Tribunal fédéral 5A_421/2012 du 20 décembre 2012 consid. 3.1; STAEHELIN, Basler Kommentar SchKG Ergänzungsband, ad n° 6 b ad art. 32 LP; BAERISWYL, MILANI, SCHMID, Zurcher Kommentar, Kommentar zum Bundesgesetz über Schuldbetreibung und Konkurs, Hrsg.: KREN KOSTKIEWICZ/VOCK, n° 16 ad art. 32 LP).</w:t>
      </w:r>
    </w:p>
    <w:p>
      <w:r>
        <w:rPr>
          <w:b/>
        </w:rPr>
        <w:t>E. 2.3</w:t>
      </w:r>
    </w:p>
    <w:p>
      <w:r>
        <w:t>Selon une partie de la pratique cantonale genevoise, il y a lieu de réserver la situation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décisions de la Chambre de surveillance DCSO/101/13 du 18 avril 2013 consid. 3; DCSO/335/2015 du 15 octobre 2015; DCSO/31/24 du 1er février 2024).</w:t>
      </w:r>
    </w:p>
    <w:p>
      <w:r>
        <w:t>Cette pratique n'est toutefois pas unanime au sein de la Chambre de surveillance (cf. DCSO/23/24 du 1er février 2024), de sorte que la question de la recevabilité de plaintes déposées volontairement auprès de l'Office incompétent pour en connaître se pose.</w:t>
      </w:r>
    </w:p>
    <w:p>
      <w:r>
        <w:t>Elle peut toutefois rester ouverte en l'espèce, les plaintes devant tout état être rejetées pour les motifs suivants.</w:t>
      </w:r>
    </w:p>
    <w:p>
      <w:r>
        <w:rPr>
          <w:b/>
        </w:rPr>
        <w:t>E. 3.1</w:t>
      </w:r>
    </w:p>
    <w:p>
      <w:r>
        <w:t>A teneur de l'article 65 al. 1 chiffre 2 LP, lorsque la poursuite est dirigée contre une personne morale ou une société, les actes de poursuite sont notifiés à</w:t>
      </w:r>
    </w:p>
    <w:p>
      <w:r>
        <w:t>- 5/6 -</w:t>
      </w:r>
    </w:p>
    <w:p>
      <w:r>
        <w:t>A/435/2024-CS son représentant, à savoir à un membre de l'administration ou du comité, à un directeur ou à un fondé de procuration s'il s'agit d'une société anonyme. Lorsque les personnes ci-dessus mentionnées ne sont pas rencontrées à leur bureau, la notification peut être faite à un autre fonctionnaire ou employé (art. 65 al. 2 LP). Il en découle que la notification d'un acte de poursuite à une personne morale se fait dans les "bureaux" de celle-ci, soit en un lieu où les représentants autorisés déploient leur activité. Il ne s'agit pas forcément du siège statutaire. Le représentant peut également être atteint à son domicile privé, voire en d'autres lieux. La notification a lieu principalement en main d'un représentant autorisé. Ce n'est que subsidiairement qu'elle peut avoir lieu en main d'un employé, lorsqu'elle n'est pas possible en mains d'un représentant (art. 67 al. 1 chiffre 2 LP; JEANNERET, LEMBO, Commentaire Romand, Poursuite et faillite, n° 6 ad art. 65 LP; RUEDIN, Commentaire Romand, Poursuite et faillite, n° 19 ad art. 67 LP).</w:t>
      </w:r>
    </w:p>
    <w:p>
      <w:r>
        <w:t>La notification à une société de domiciliation et la remise à des employés de cette dernière vaut notification à un représentant autorisé équivalent à un fondé de procuration (ATF 120 III 64 consid. 3 = JdT 1997 II 26; ATF 119 III 57 = JdT 1995 II 137; SJ 2000 II p. 210; arrêt du Tribunal fédéral du 7B.51/2002 du 22 mars 2002 consid. 2; cf. également ATF 96 III 1 = JdT 1971 II 34 pour la notification valable en mains d'employés d'une société domiciliée dans les mêmes locaux).</w:t>
      </w:r>
    </w:p>
    <w:p>
      <w:r>
        <w:rPr>
          <w:b/>
        </w:rPr>
        <w:t>E. 3.2</w:t>
      </w:r>
    </w:p>
    <w:p>
      <w:r>
        <w:t>En l'espèce, la plaignante est domiciliée auprès d'une régie immobilière connue de la place, B______ SA, rompue aux affaires et à la pratique en matière de poursuites. Les organes de la plaignante sont également organes de dite régie. La notification en mains d'employés de la régie domiciliataire était par conséquent valable, ce que la plaignante et dite régie n'ignoraient certainement pas.</w:t>
      </w:r>
    </w:p>
    <w:p>
      <w:r>
        <w:rPr>
          <w:b/>
        </w:rPr>
        <w:t>E. 4</w:t>
      </w:r>
    </w:p>
    <w:p>
      <w:r>
        <w:t>La procédure devant l'autorité de surveillance est gratuite (art. 20a al. 2 ch. 5 LP; art. 61 al. 2 let. a OELP) et ne donne pas lieu à l'allocation de dépens (art. 62 al. 2 OELP). Il ne sera par conséquent pas perçu de frais ni alloué de dépens. * * * * *</w:t>
      </w:r>
    </w:p>
    <w:p>
      <w:r>
        <w:t>- 6/6 -</w:t>
      </w:r>
    </w:p>
    <w:p>
      <w:r>
        <w:t>A/435/2024-CS PAR CES MOTIFS, La Chambre de surveillance :</w:t>
      </w:r>
    </w:p>
    <w:p>
      <w:r>
        <w:t>Ordonne la jonction des causes A/1122/2024 et A/435/2024 sous ce dernier numéro de cause. Rejette dans la mesure de leur recevabilité les plaintes des 5 février et 2 avril 2024 de A______ SA contre la notification des commandements de payer, poursuites n° 3______ et 4______.</w:t>
      </w:r>
    </w:p>
    <w:p>
      <w:r>
        <w:t>Siégeant : Monsieur Jean REYMOND, président; Monsieur Anthony HUGUENIN et Monsieur Luca MINOTTI,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