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DCSO/244/2015 vom 20. August 2015</w:t>
      </w:r>
    </w:p>
    <w:p>
      <w:r>
        <w:t>GE Cour de justice, 2015-08-20, FR</w:t>
      </w:r>
    </w:p>
    <w:p>
      <w:r>
        <w:rPr>
          <w:b/>
        </w:rPr>
        <w:t xml:space="preserve">Quelle: </w:t>
      </w:r>
      <w:r>
        <w:t>https://mcp.opencaselaw.ch/entscheid/ge_gerichte_DCSO_244_2015</w:t>
      </w:r>
    </w:p>
    <w:p>
      <w:r>
        <w:t>FR: GE_GERICHTE DCSO/244/2015 du 20 août 2015</w:t>
      </w:r>
    </w:p>
    <w:p>
      <w:r>
        <w:t>IT: GE_GERICHTE DCSO/244/2015 del 20 agosto 2015</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w:t>
      </w:r>
    </w:p>
    <w:p>
      <w:r>
        <w:t>Il est constant que l'exécution du séquestre est une mesure sujette à plainte que le plaignant, débiteur, a qualité pour contester par cette voie.</w:t>
      </w:r>
    </w:p>
    <w:p>
      <w:r>
        <w:rPr>
          <w:b/>
        </w:rPr>
        <w:t>E. 1.2</w:t>
      </w:r>
    </w:p>
    <w:p>
      <w:r>
        <w:t>La plainte contre une mesure de l'Office doit être déposée dans les dix jours suivant celui où le plaignant en a eu connaissance (art. 17 al. 2 LP).</w:t>
      </w:r>
    </w:p>
    <w:p>
      <w:r>
        <w:rPr>
          <w:b/>
        </w:rPr>
        <w:t>E. 1.3</w:t>
      </w:r>
    </w:p>
    <w:p>
      <w:r>
        <w:t>En l'espèce, l'exécution du séquestre a fait l'objet d'un procès-verbal que la plaignante a reçu le 12 février 2015.</w:t>
      </w:r>
    </w:p>
    <w:p>
      <w:r>
        <w:t>Or, celui-ci indique que l'assiette totale du séquestre a été arrêtée, par l'Office, à 237'125 fr.</w:t>
      </w:r>
    </w:p>
    <w:p>
      <w:r>
        <w:t>Partant, la poursuivie en a pris connaissance en date du 12 février 2015, de sorte qu'elle devait déposer plainte dans les 10 jours suivants, ne serait-ce que pour défaut de motivation de la fixation de l'assiette du séquestre, si elle estimait qu'une telle motivation devait figurer dans le procès-verbal.</w:t>
      </w:r>
    </w:p>
    <w:p>
      <w:r>
        <w:t>Expédiée le 26 mars 2015, sa plainte contre l'exécution du séquestre est tardive et, partant, irrecevable.</w:t>
      </w:r>
    </w:p>
    <w:p>
      <w:r>
        <w:t>La Chambre de céans ne relève donc qu'à titre superfétatoire qu'elle est également mal fondée.</w:t>
      </w:r>
    </w:p>
    <w:p>
      <w:r>
        <w:rPr>
          <w:b/>
        </w:rPr>
        <w:t>E. 2.1</w:t>
      </w:r>
    </w:p>
    <w:p>
      <w:r>
        <w:t>Les art. 91 à 109 LP relatifs à la saisie s'appliquent par analogie à l'exécution du séquestre (art. 275 LP).</w:t>
      </w:r>
    </w:p>
    <w:p>
      <w:r>
        <w:t>- 6/8 -</w:t>
      </w:r>
    </w:p>
    <w:p>
      <w:r>
        <w:t>A/1022/2015-CS</w:t>
      </w:r>
    </w:p>
    <w:p>
      <w:r>
        <w:t>Selon l'art. 97 al. 2 LP, l'office des poursuites ne saisit que les biens nécessaires pour satisfaire le créancier en capital, intérêts et frais.</w:t>
      </w:r>
    </w:p>
    <w:p>
      <w:r>
        <w:rPr>
          <w:b/>
        </w:rPr>
        <w:t>E. 2.2</w:t>
      </w:r>
    </w:p>
    <w:p>
      <w:r>
        <w:t>Si l’office chargé d’exécuter le séquestre est lié par le montant de la créance indiqué dans l’ordonnance de séquestre ainsi que par le taux de l’intérêt réclamé, il doit capitaliser l’intérêt réclamé pendant la durée probable des effets du séquestre, soit pendant la durée de la poursuite en validation du séquestre, jusqu'à la date de la conversion du séquestre en saisie définitive (DSCO 508/2009 du 10 décembre 2009 consid. 2a; DSCO 117/2009 du 26 février 2009 consid. 2a; DSCO 9/2008 du 17 janvier 2008 consid. 4a; DSCO 583/2004 du 29 novembre 2004 consid. 2a).</w:t>
      </w:r>
    </w:p>
    <w:p>
      <w:r>
        <w:t>La durée probable relève d'une appréciation, ce qui complique la détermination de l'assiette du séquestre, respectivement de la saisie (ZOPFI, in Hunkeler, Kurzkommentar SchKG, 2ème éd. 2014, n° 17 ad art. 97 LP; FOËX, in Basler Kommentar, Bundesgesetz über Schuldbetreibung und Konkurs I, 2ème éd. 2010, n° 22 ad art. 97 LP).</w:t>
      </w:r>
    </w:p>
    <w:p>
      <w:r>
        <w:t>Si la durée des intérêts peut être estimée à sept ans lorsque le débiteur séquestré ne forme pas opposition au commandement de payer ou lorsque sa dette résulte d'un jugement exécutoire, l'Office peut retenir une durée jusqu'à dix ans lorsque tel n'est pas le cas. L'incertitude entourant la durée probable d'une procédure justifie une approche prudente de la question, puisque c'est avant tout pour protéger les intérêts du créancier séquestrant qu'un nombre suffisant d'années d'intérêts doit être pris en compte dans la détermination de l'assiette du séquestre (DSCO 508/2009 du 10 décembre 2009 consid. 2b; DSCO 9/2008 du 17 janvier 2008 consid. 4b).</w:t>
      </w:r>
    </w:p>
    <w:p>
      <w:r>
        <w:rPr>
          <w:b/>
        </w:rPr>
        <w:t>E. 2.3</w:t>
      </w:r>
    </w:p>
    <w:p>
      <w:r>
        <w:t>En ce qui concerne les frais visés par l'art. 97 al. 2 LP, applicable par analogie à l'exécution du séquestre (art. 275 LP), il s'agit des frais de poursuite visés par l'art. 68 LP (ZOPFI, loc. cit.; FOËX, loc. cit.; DE GOTTRAU, in Commentaire romand, Poursuite et faillite, 2005, n° 15 ad art. 97 LP). Ceux-ci comprennent les frais (soit les frais judiciaires et les dépens en faveur du créancier) liés à une procédure judiciaire (de type sommaire) de mainlevée, à l'exclusion de ceux liés à une procédure judiciaire ordinaire en reconnaissance de dette et en annulation de l'opposition au commandement de payer (ATF 119 III 63 = JdT 1996 II 27 consid. 4b aa; ATF 73 III 133 = JdT 1948 II 114 consid. 1; GEHRI, in Hunkeler, op. cit. , n° 3 ad art. 68 LP; FOËX, loc. cit.).</w:t>
      </w:r>
    </w:p>
    <w:p>
      <w:r>
        <w:rPr>
          <w:b/>
        </w:rPr>
        <w:t>E. 2.4</w:t>
      </w:r>
    </w:p>
    <w:p>
      <w:r>
        <w:t>En l'espèce, la plaignante a formé opposition au commandement de payer, notifié à la requête de son créancier séquestrant dans le cadre de la poursuite destinée à valider le séquestre litigieux.</w:t>
      </w:r>
    </w:p>
    <w:p>
      <w:r>
        <w:t>Depuis lors, le créancier a introduit une requête de mainlevée de l'opposition, estimant être au bénéfice d'un titre de mainlevée définitive. Toutefois, ce titre n'est</w:t>
      </w:r>
    </w:p>
    <w:p>
      <w:r>
        <w:t>- 7/8 -</w:t>
      </w:r>
    </w:p>
    <w:p>
      <w:r>
        <w:t>A/1022/2015-CS pas un jugement exécutoire mais un contrat qui comporterait une clause d'exécution directe, contestée par la plaignante.</w:t>
      </w:r>
    </w:p>
    <w:p>
      <w:r>
        <w:t>Dans ces conditions, l'Office n'a pas abusé de son pouvoir d'appréciation en retenant une durée de dix ans pour le calcul des intérêts, jusqu'à la transformation du séquestre en saisie définitive.</w:t>
      </w:r>
    </w:p>
    <w:p>
      <w:r>
        <w:t>Concernant les frais de poursuite estimés par l'Office, celui-ci pouvait y intégrer, comme il l'a fait et conformément à la jurisprudence, ceux liés à la procédure judiciaire de mainlevée définitive, y compris d'éventuels dépens à payer par la plaignante au créancier séquestrant. Le montant total estimé par l'Office à 10'000 fr., pour tous les frais ainsi calculés, n'apparaît nullement excessif.</w:t>
      </w:r>
    </w:p>
    <w:p>
      <w:r>
        <w:t>La décision querellée de l'Office est ainsi bien fondée, de sorte que la plainte devrait être rejetée si elle était recevable.</w:t>
      </w:r>
    </w:p>
    <w:p>
      <w:r>
        <w:rPr>
          <w:b/>
        </w:rPr>
        <w:t>E. 3</w:t>
      </w:r>
    </w:p>
    <w:p>
      <w:r>
        <w:t>La procédure de plainte est gratuite (art. 20a al. 2 ch. 5 LP et art. 61 al. 2 let. a OELP) et il ne peut être alloué aucun dépens dans cette procédure (art. 62 al. 2 OELP). * * * * *</w:t>
      </w:r>
    </w:p>
    <w:p>
      <w:r>
        <w:t>- 8/8 -</w:t>
      </w:r>
    </w:p>
    <w:p>
      <w:r>
        <w:t>A/1022/2015-CS PAR CES MOTIFS, La Chambre de surveillance : Déclare irrecevable la plainte formée le 23 mars 2015 par Mme T______ contre la décision de l'Office des poursuites fixant la portée du séquestre n° 14 xxxxx7 J à une assiette de 237'125 fr.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