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DCSO/243/2015 vom 20. August 2015</w:t>
      </w:r>
    </w:p>
    <w:p>
      <w:r>
        <w:t>GE Cour de justice, 2015-08-20, FR</w:t>
      </w:r>
    </w:p>
    <w:p>
      <w:r>
        <w:rPr>
          <w:b/>
        </w:rPr>
        <w:t xml:space="preserve">Quelle: </w:t>
      </w:r>
      <w:r>
        <w:t>https://mcp.opencaselaw.ch/entscheid/ge_gerichte_DCSO_243_2015</w:t>
      </w:r>
    </w:p>
    <w:p>
      <w:r>
        <w:t>FR: GE_GERICHTE DCSO/243/2015 du 20 août 2015</w:t>
      </w:r>
    </w:p>
    <w:p>
      <w:r>
        <w:t>IT: GE_GERICHTE DCSO/243/2015 del 20 agosto 2015</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tels le procès-verbal de saisie. La plainte doit être déposée dans les dix jours de celui où le plaignant a eu connaissance de la mesure (art. 17 al. 2 LP). Cela étant, la plainte est recevable en tout temps lorsque, comme le plaignant semble le soutenir en l'espèce, la mesure attaquée porte atteinte au minimum vital du débiteur et le place dans une situation</w:t>
      </w:r>
    </w:p>
    <w:p>
      <w:r>
        <w:t>- 3/4 -</w:t>
      </w:r>
    </w:p>
    <w:p>
      <w:r>
        <w:t>A/1271/2015-CS intolérable (art. 22 LP; ATF 114 III 78 consid. 3, JdT 1990 II 162). Pour le surplus, la question de savoir si la plainte répond aux exigences de forme (art. 9 al. 4 LaLP, art. 65 al. 1 et 2 LPA) peut demeurer indécise compte tenu de ce qui suit.</w:t>
      </w:r>
    </w:p>
    <w:p>
      <w:r>
        <w:rPr>
          <w:b/>
        </w:rPr>
        <w:t>E. 2.1</w:t>
      </w:r>
    </w:p>
    <w:p>
      <w:r>
        <w:t>Selon l'art. 93 al. 1 LP, les revenus ne peuvent être saisis que déduction faite de ce que le préposé estime indispensable au débiteur et à sa famille (minimum vital). Pour fixer le montant saisissable, l'office doit d'abord tenir compte de toutes les ressources du débiteur, puis évaluer le revenu net en opérant les déductions telles que les dépenses nécessaires à l'entretien du débiteur,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arrêt du Tribunal fédéral 5A_919/2012 du 11 février 2013 consid. 4.3.1).</w:t>
      </w:r>
    </w:p>
    <w:p>
      <w:r>
        <w:rPr>
          <w:b/>
        </w:rPr>
        <w:t>E. 2.2</w:t>
      </w:r>
    </w:p>
    <w:p>
      <w:r>
        <w:t>Lorsqu'elle est saisie d'une plainte, il appartient à l'autorité de surveillance de vérifier uniquement si la retenue fixée par l'office ou le calcul qu'il a effectué est conforme aux faits déterminant la quotité saisissable des revenus du débiteur, compte tenu des circonstances existant au moment de l'exécution de cette mesure (ATF 121 III 20 consid. 3, JT 1997 II 163). Si le plaignant souhaite invoquer des faits nouveaux, il lui appartient de les faire valoir par la voie de la révision de la saisie auprès de l'Office et non par la voie de la plainte (art. 93 al. 3 LP; ATF 108 III 10; VONDER MÜHLL, Basler Kommentar, Bundesgesetz über Schuldbetreibung und Konkurs, éd. 2010, n. 54 ad art. 93).</w:t>
      </w:r>
    </w:p>
    <w:p>
      <w:r>
        <w:rPr>
          <w:b/>
        </w:rPr>
        <w:t>E. 2.3</w:t>
      </w:r>
    </w:p>
    <w:p>
      <w:r>
        <w:t>En l'espèce, il ressort du dossier que l'Office a fixé la quotité saisissable dans le procès-verbal du 22 janvier 2015 en fonction des renseignements et documents fournis par le plaignant. Ce dernier ne soutient pas que les documents dont disposait alors l'Office étaient erronés. En revanche, il fait valoir que depuis 2014, ses bénéfices auraient diminué, ce qui justifierait une réduction de la quotité saisissable. Or, il lui appartenait de signaler les modifications intervenues dans sa situation financière à l'Office et de requérir la modification de la saisie à celui-ci. Il ne pouvait, comme il l'a fait, directement saisir la Chambre de céans en vue d'obtenir la modification requise. Il était d'autant moins fondé à le faire que l'Office l'avait - au moment où il a déposé la présente plainte - déjà convoqué dans le but précisément de vérifier s'il y avait lieu de modifier la portée de la saisie de gains en cours. Partant, sa plainte est irrecevable.</w:t>
      </w:r>
    </w:p>
    <w:p>
      <w:r>
        <w:rPr>
          <w:b/>
        </w:rPr>
        <w:t>E. 3</w:t>
      </w:r>
    </w:p>
    <w:p>
      <w:r>
        <w:t>La procédure de plainte est gratuite (art. 62 al. 2 OELP). * * * * *</w:t>
      </w:r>
    </w:p>
    <w:p>
      <w:r>
        <w:t>- 4/4 -</w:t>
      </w:r>
    </w:p>
    <w:p>
      <w:r>
        <w:t>A/1271/2015-CS PAR CES MOTIFS, La Chambre de surveillance : A la forme : Déclare irrecevable la plainte formée le 18 avril 2015 par M. Z______ contre le procès- verbal de saisie, série n° 14 xxxx88 B, du 22 janvier 2015. Siégeant : Madame Florence KRAUSKOPF, présidente; Monsieur Philipp GANZONI et Monsieur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