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DCSO/239/2023 vom 31. Mai 2023</w:t>
      </w:r>
    </w:p>
    <w:p>
      <w:r>
        <w:t>GE Cour de justice, 2023-05-31, FR</w:t>
      </w:r>
    </w:p>
    <w:p>
      <w:r>
        <w:rPr>
          <w:b/>
        </w:rPr>
        <w:t xml:space="preserve">Quelle: </w:t>
      </w:r>
      <w:r>
        <w:t>https://mcp.opencaselaw.ch/entscheid/ge_gerichte_DCSO_239_2023</w:t>
      </w:r>
    </w:p>
    <w:p>
      <w:r>
        <w:t>FR: GE_GERICHTE DCSO/239/2023 du 31 mai 2023</w:t>
      </w:r>
    </w:p>
    <w:p>
      <w:r>
        <w:t>IT: GE_GERICHTE DCSO/239/2023 del 31 maggio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procédure de plainte est gratuite (art. 20a al. 2 ch. 5 LP; art. 61 al. 2 let. a OELP) et ne donne pas lieu à l'allocation de dépens (art. 62 al. 2 OELP).</w:t>
      </w:r>
    </w:p>
    <w:p>
      <w:r>
        <w:t>* * * * *</w:t>
      </w:r>
    </w:p>
    <w:p>
      <w:r>
        <w:t>- 6/6 -</w:t>
      </w:r>
    </w:p>
    <w:p>
      <w:r>
        <w:t>A/4090/2022-CS PAR CES MOTIFS, La Chambre de surveillance : A la forme : Déclare recevable la plainte du 30 novembre 2022 de A______ contre la décision administrative en répétition de l'indu rendue le 24 novembre 2022 par l'Office cantonal des poursuites dans la poursuite n° 2______. Au fond : Déclare nulle cette décision. 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