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DCSO/232/2018 vom 12. April 2018</w:t>
      </w:r>
    </w:p>
    <w:p>
      <w:r>
        <w:t>GE Cour de justice, 2018-04-12, FR</w:t>
      </w:r>
    </w:p>
    <w:p>
      <w:r>
        <w:rPr>
          <w:b/>
        </w:rPr>
        <w:t xml:space="preserve">Quelle: </w:t>
      </w:r>
      <w:r>
        <w:t>https://mcp.opencaselaw.ch/entscheid/ge_gerichte_DCSO_232_2018</w:t>
      </w:r>
    </w:p>
    <w:p>
      <w:r>
        <w:t>FR: GE_GERICHTE DCSO/232/2018 du 12 avril 2018</w:t>
      </w:r>
    </w:p>
    <w:p>
      <w:r>
        <w:t>IT: GE_GERICHTE DCSO/232/2018 del 12 aprile 2018</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Contrairement à ce que soutient l'Office, les diverses mesures prises depuis le milieu du mois d'octobre 2017 ne privent pas la plainte de son objet. D'une part en effet, aucune plainte pénale n'avait encore été déposée au moment où la cause a été gardée à juger, alors qu'il s'agit là d'une conclusion expresse du plaignant. D'autre part, selon la jurisprudence (ATF 122 IV 111 consid. I/4; 129 V 411 consid. 1.3; arrêt du Tribunal fédéral 5A_638/2016 du 2 décembre 2016, consid. 2.1), la constatation d'un retard injustifié constitue en soi une forme de réparation pour celui qui en est la victime : le plaignant conserve ainsi un intérêt légitime à ce qu'il soit statué sur sa conclusion en constatation d'un tel retard, alors même que, dans son courrier daté du 4 décembre 2017, il a paru se satisfaire des démarches effectuées par l'Office postérieurement au dépôt de sa plainte.</w:t>
      </w:r>
    </w:p>
    <w:p>
      <w:r>
        <w:t>La plainte est ainsi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Dès que l'ouverture de la faillite lui a été communiquée, l'Office doit procéder à l'inventaire des biens du failli et prendre les mesures nécessaires pour leur</w:t>
      </w:r>
    </w:p>
    <w:p>
      <w:r>
        <w:t>- 5/7 -</w:t>
      </w:r>
    </w:p>
    <w:p>
      <w:r>
        <w:t>A/4397/2017-CS conservation (art. 221 LP). Le failli lui-même est tenu, sous menace des peines prévues par la loi, d'indiquer tous ses biens à l'Office (art. 222 al. 1 LP).</w:t>
      </w:r>
    </w:p>
    <w:p>
      <w:r>
        <w:t>L'inventaire doit donner une vision d'ensemble sur le patrimoine du failli, dont il vise à assurer la conservation. Il sert aussi de base au choix du mode de liquidation de la faillite (suspension de la liquidation, liquidation sommaire ou liquidation ordinaire) (VOUILLOZ, in CR LP, n° 3 ad art. 221 LP).</w:t>
      </w:r>
    </w:p>
    <w:p>
      <w:r>
        <w:rPr>
          <w:b/>
        </w:rPr>
        <w:t>E. 2.3</w:t>
      </w:r>
    </w:p>
    <w:p>
      <w:r>
        <w:t>Dans le cas d'espèce, l'Office a procédé le 20 décembre 2016, soit peu de temps après la communication du jugement déclarant la faillite, à l'interrogatoire de l'administrateur président de cette dernière en vue – notamment – de l'établissement de l'inventaire. Il a donc fait diligence à cet égard, et c'est à tort que le plaignant lui reproche de n'avoir procédé à aucun acte d'instruction.</w:t>
      </w:r>
    </w:p>
    <w:p>
      <w:r>
        <w:t>Au terme de cet interrogatoire, l'Office a requis de la part de l'administrateur président de la faillie, conformément à l'art. 223 al. 2 LP, la remise de la comptabilité des derniers exercices ainsi que celle du contrat de transfert des principaux actifs de la faillie. Ces documents – ou plus exactement une partie d'entre eux – ne lui ont finalement été remis qu'à la mi-novembre 2017, ce qui lui a permis, après analyse, d'inventorier plusieurs prétentions supplémentaires et d'adresser à l'ancienne banque de la faillie des demandes de renseignement précises.</w:t>
      </w:r>
    </w:p>
    <w:p>
      <w:r>
        <w:t>Il faut cela étant concéder au plaignant que, du 28 février 2017 – date d'expiration du premier délai imparti à l'administrateur président de la faillie pour lui remettre les documents demandés – au mois de novembre 2017, soit pendant environ huit mois, l'Office s'est borné à relancer régulièrement cet organe alors que celui-ci, comme l'Office l'admet lui-même, cherchait à gagner du temps. Certes, ces renvois successifs, motivés notamment par le fait qu'une partie des bilans requis n'avaient pas encore été établis, sont demeurés sans influence sur le patrimoine de la faillie. Il n'en reste pas moins qu'ils contreviennent au principe de célérité devant guider l'établissement de l'inventaire (SCHOBER, in KUKO SchKG, n° 2 et</w:t>
      </w:r>
    </w:p>
    <w:p>
      <w:r>
        <w:rPr>
          <w:b/>
        </w:rPr>
        <w:t>E. 3</w:t>
      </w:r>
    </w:p>
    <w:p>
      <w:r>
        <w:t>La procédure de plainte est gratuite (art. 20a al. 2 ch. 5 LP et art. 61 al. 2 let. a OELP) et il ne peut être alloué aucuns dépens dans cette procédure (art. 62 al. 2 OELP). * * * * *</w:t>
      </w:r>
    </w:p>
    <w:p>
      <w:r>
        <w:t>- 7/7 -</w:t>
      </w:r>
    </w:p>
    <w:p>
      <w:r>
        <w:t>A/4397/2017-CS PAR CES MOTIFS, La Chambre de surveillance : A la forme : Déclare recevable la plainte formée le 3 novembre 2017 par A______ pour retard injustifié de la part de l'Office des faillites dans la liquidation de la faillite de B______ SA. Au fond : L'admet en ce sens qu'un retard non justifié dans l'établissement de l'inventaire est constaté. La rejette pour le surplus. Siégeant : Monsieur Patrick CHENAUX, président; Monsieur Michel BERTSCHY et Monsieur Eric DE PREUX,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