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DCSO/232/2017 vom 4. Mai 2017</w:t>
      </w:r>
    </w:p>
    <w:p>
      <w:r>
        <w:t>GE Cour de justice, 2017-05-04, FR</w:t>
      </w:r>
    </w:p>
    <w:p>
      <w:r>
        <w:rPr>
          <w:b/>
        </w:rPr>
        <w:t xml:space="preserve">Quelle: </w:t>
      </w:r>
      <w:r>
        <w:t>https://mcp.opencaselaw.ch/entscheid/ge_gerichte_DCSO_232_2017</w:t>
      </w:r>
    </w:p>
    <w:p>
      <w:r>
        <w:t>FR: GE_GERICHTE DCSO/232/2017 du 4 mai 2017</w:t>
      </w:r>
    </w:p>
    <w:p>
      <w:r>
        <w:t>IT: GE_GERICHTE DCSO/232/2017 del 4 maggio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telles que la décision de non-lieu de notification. La plainte, formée dans les 10 jours suivant la décision de non-lieu de notification (art. 17 al. 2 LP) et respectant – après avoir été complétée dans le délai imparti - les exigences minimales de forme prescrites par la loi (art. 9 al. 1 et 4 LaLP; art. 65 LPA), est recevable.</w:t>
      </w:r>
    </w:p>
    <w:p>
      <w:r>
        <w:rPr>
          <w:b/>
        </w:rPr>
        <w:t>E. 2</w:t>
      </w:r>
    </w:p>
    <w:p>
      <w:r>
        <w:t>Il convient de distinguer les deux poursuites, qui sont fondées sur la même réquisition de poursuite.</w:t>
      </w:r>
    </w:p>
    <w:p>
      <w:r>
        <w:t>La première, poursuite n° 15 xxxx53 E, a donné lieu au commandement de payer notifié le 26 mai 2016 en mains de la mère du poursuivi, à l'adresse indiquée par la créancière. Ce dernier est inscrit auprès de l'Office cantonal de la population comme étant domicilié à ladite adresse. Au moment de la notification, aucun élément ne permettait de douter du domicile effectif du poursuivi à cette adresse. La créancière a valablement requis la continuation de la poursuite. Celle-ci est toutefois restée inactive après l'envoi d'un avis de saisie le 9 août 2016, en raison d'un problème informatique. Il convient donc d'inviter l'Office à reprendre le traitement de la réquisition de continuer la poursuite, en recherchant, si nécessaire, le nouveau domicile du poursuivi.</w:t>
      </w:r>
    </w:p>
    <w:p>
      <w:r>
        <w:t>L'émission d'un second commandement de payer, poursuite n° 16 xxxx66 H, n'a pas été sollicitée par la créancière, qui n'a déposé qu'une seule réquisition de poursuite. Ce second commandement de payer a ainsi manifestement été émis par inadvertance, l'existence du premier commandement de payer ayant échappé à l'attention de l'Office. Cette seconde poursuite doit donc être annulée.</w:t>
      </w:r>
    </w:p>
    <w:p>
      <w:r>
        <w:t>En conclusion, la plainte sera donc accueillie dans ce sens.</w:t>
      </w:r>
    </w:p>
    <w:p>
      <w:r>
        <w:rPr>
          <w:b/>
        </w:rPr>
        <w:t>E. 3</w:t>
      </w:r>
    </w:p>
    <w:p>
      <w:r>
        <w:t>La procédure sur plainte est gratuite (art. 20a al. 2 ch. 5 LP). * * * * *</w:t>
      </w:r>
    </w:p>
    <w:p>
      <w:r>
        <w:t>- 4/4 -</w:t>
      </w:r>
    </w:p>
    <w:p>
      <w:r>
        <w:t>A/476/2017-CS PAR CES MOTIFS, La Chambre de surveillance : A la forme : Déclare recevable la plainte formée le 10 février 2017 par A______ SA contre la décision de non-lieu de notification rendue le 8 février 2017 par l'Office des poursuites dans la poursuite n° 16 xxxx66 H. Au fond : Annule cette décision. Invite l'Office à continuer la poursuite n°15 xxxx53 E.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