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DCSO/231/2012 vom 14. Juni 2012</w:t>
      </w:r>
    </w:p>
    <w:p>
      <w:r>
        <w:t>GE Cour de justice, 2012-06-14, FR</w:t>
      </w:r>
    </w:p>
    <w:p>
      <w:r>
        <w:rPr>
          <w:b/>
        </w:rPr>
        <w:t xml:space="preserve">Quelle: </w:t>
      </w:r>
      <w:r>
        <w:t>https://mcp.opencaselaw.ch/entscheid/ge_gerichte_DCSO_231_2012</w:t>
      </w:r>
    </w:p>
    <w:p>
      <w:r>
        <w:t>FR: GE_GERICHTE DCSO/231/2012 du 14 juin 2012</w:t>
      </w:r>
    </w:p>
    <w:p>
      <w:r>
        <w:t>IT: GE_GERICHTE DCSO/231/2012 del 14 giugno 2012</w:t>
      </w:r>
    </w:p>
    <w:p>
      <w:pPr>
        <w:pStyle w:val="Heading2"/>
      </w:pPr>
      <w:r>
        <w:t>Regeste</w:t>
      </w:r>
    </w:p>
    <w:p>
      <w:r>
        <w:t>Résumé: La Chambre ordonne la dissolution de la communauté héréditaire et la liquidation de son patrimoine commun. Recours au TF interjeté le 25 juin 2012 par les débiteurs, déclaré irrecevable par arrêt du 14.8.2012(5A_478/2012/ ZEH).</w:t>
      </w:r>
    </w:p>
    <w:p>
      <w:pPr>
        <w:pStyle w:val="Heading2"/>
      </w:pPr>
      <w:r>
        <w:t>Erwägungen</w:t>
      </w:r>
    </w:p>
    <w:p>
      <w:r>
        <w:rPr>
          <w:b/>
        </w:rPr>
        <w:t>E. 1</w:t>
      </w:r>
    </w:p>
    <w:p>
      <w:r>
        <w:t>Lorsqu'il s'agit de réaliser une part de communauté, le préposé demande à l'autorité de surveillance de fixer le mode de réalisation (art. 132 al. 1 LP). Cette disposition est précisée par l'art. 10 al. 1 de l'Ordonnance du Tribunal fédéral du 17 janvier 1923 concernant la saisie et la réalisation de parts de communautés (OPC; RS 281.41),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w:t>
      </w:r>
    </w:p>
    <w:p>
      <w:r>
        <w:t>Vu l'échec de l'entente amiable et les réponses obtenues à l'échéance du délai, l'Office a donc valablement transmis le dossier à la Chambre de céans, qui a la compétence pour statuer en cette matière (art. 132 al. 1 LP; art. 126 al. 2 LOJ; art. 6 LaLP; ATF 135 III 179 consid. 2.1).</w:t>
      </w:r>
    </w:p>
    <w:p>
      <w:r>
        <w:rPr>
          <w:b/>
        </w:rPr>
        <w:t>E. 2</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Le choix entre les deux modes de réalisation relève de l'opportunité et l'autorité de surveillance jouit à cet égard d'une entière liberté d'appréciation (ATF 135 III 179 consid. 2.1; TC VD, 31.03.2003, in BlSchK 2004, p. 186 n° 33 et in JdT 2003 II 69, consid. 2c; BETTSCHART, in CR-LP, ad art. 132 n° 13; RUTZ/ROTH, in BaK SchKG-I, ad art. 132 n° 20).</w:t>
      </w:r>
    </w:p>
    <w:p>
      <w:r>
        <w:rPr>
          <w:b/>
        </w:rPr>
        <w:t>E. 3</w:t>
      </w:r>
    </w:p>
    <w:p>
      <w:r>
        <w:t>En l'espèce, la Chambre de céans constate que la tentative d'amener les intéressés à s'entendre à l'amiable s'est soldée par un échec et que trois créanciers saisissants</w:t>
      </w:r>
    </w:p>
    <w:p>
      <w:r>
        <w:t>- 8/10 -</w:t>
      </w:r>
    </w:p>
    <w:p>
      <w:r>
        <w:t>A/1241/2012-CS ont expressément requis la dissolution de la communauté héréditaire de feu M. L_______.</w:t>
      </w:r>
    </w:p>
    <w:p>
      <w:r>
        <w:t>Dans ces conditions, la Chambre de céans ordonnera la dissolution de ladite communauté héréditaire et la liquidation de son patrimoine commun. En effet, même à supposer que la valeur de la part saisie puisse être déterminée approximativement, au sens de l'art. 10 al. 3 OPC, une vente aux enchères est économiquement moins favorable au débiteur et à ses créanciers qu'un partage.</w:t>
      </w:r>
    </w:p>
    <w:p>
      <w:r>
        <w:rPr>
          <w:b/>
        </w:rPr>
        <w:t>E. 4</w:t>
      </w:r>
    </w:p>
    <w:p>
      <w:r>
        <w:t>Il appartiendra à l'Office de prendre les mesures nécessaires pour procéder à la dissolution et à la liquidation conformément aux dispositions applicables à la communauté dont il s'agit. S'agissant en l'espèce d'une communauté héréditaire, il lui reviendra, conformément à l'art. 12 2ème phr. OPC, de requérir le partage avec le concours de l'autorité compétente aux termes de l'art. 609 CC, soit à Genève le Juge de paix (art. 2 al. 1 let. k et 131 LaCC (RS/GE E 1 05); BETTSCHART, in CR- LP, ad art. 132 n° 20 et 25; RUTZ/ROTH, in BaK SchKG-I n° 38 ad art. 132).</w:t>
      </w:r>
    </w:p>
    <w:p>
      <w:r>
        <w:t>Les frais du partage devront être avancés – à parts égales entre eux – par les trois créanciers saisissants ayant requis la dissolution de la communauté devant la Chambre de céans. L'Office sera dès lors invité à fixer le montant de cette avance et à impartir un délai aux créanciers considérés pour la payer. A défaut de paiement de ladite avance, la part de M. R______ devra être réalisée aux enchères publiques par l'Office (cf. ATF 135 III 179 consid. 2.4; BlschK 2004, p. 186 et JdT 2003 II 69 consid. 2e et f).</w:t>
      </w:r>
    </w:p>
    <w:p>
      <w:r>
        <w:rPr>
          <w:b/>
        </w:rPr>
        <w:t>E. 5</w:t>
      </w:r>
    </w:p>
    <w:p>
      <w:r>
        <w:t>La présente décision est rendue sans frais ni dépens.</w:t>
      </w:r>
    </w:p>
    <w:p>
      <w:r>
        <w:t>* * * * *</w:t>
      </w:r>
    </w:p>
    <w:p>
      <w:r>
        <w:t>- 9/10 -</w:t>
      </w:r>
    </w:p>
    <w:p>
      <w:r>
        <w:t>A/1241/2012-CS PAR CES MOTIFS, La Chambre de surveillance : A la forme : Déclare recevable la requête en fixation du mode de réalisation déposée le 25 avril 2012 par l'Office des poursuites dans le cadre des poursuites formant les séries nos 08 xxxx06 Y, 08 xxxx56 F, 10 xxxx25 G et 11 xxxx41 Y dirigées contre M. R______. Au fond : Ordonne la dissolution et la liquidation de la communauté héréditaire de feu M. L_______, quand vivait domicilié à B______ (GE), formée de Mme R______, Mme E______, Mme G______ et M. R______. Charge l'Office des poursuites de requérir le partage de cette communauté héréditaire. Dit que l'avance des frais de la procédure de partage incombe à la Caisse cantonale genevoise de compensation, à PHILOS Assurance Maladie SA et à Me Y______, à parts égales entre eux. Invite l'Office des poursuites à fixer l'avance des frais de la procédure de partage et à impartir un délai à la Caisse cantonale genevoise de compensation, à PHILOS Assurance Maladie SA et à Me Y______ pour verser leur part respective de cette avance. Dit qu'à défaut de paiement de cette avance, la part de communauté sera vendue aux enchères comme telle. Siégeant : Monsieur Grégory BOVEY, président; Monsieur Antoine HAMDAN et Monsieur Mathieu HOWALD, juges assesseurs; Madame Véronique PISCETTA, greffière.</w:t>
      </w:r>
    </w:p>
    <w:p>
      <w:r>
        <w:t>Le président : Grégory BOVEY</w:t>
      </w:r>
    </w:p>
    <w:p>
      <w:r>
        <w:t>La greffière : Véronique PISCETTA</w:t>
      </w:r>
    </w:p>
    <w:p>
      <w:r>
        <w:t>- 10/10 -</w:t>
      </w:r>
    </w:p>
    <w:p>
      <w:r>
        <w:t>A/1241/2012-CS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