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DCSO/228/2012 vom 14. Juni 2012</w:t>
      </w:r>
    </w:p>
    <w:p>
      <w:r>
        <w:t>GE Cour de justice, 2012-06-14, FR</w:t>
      </w:r>
    </w:p>
    <w:p>
      <w:r>
        <w:rPr>
          <w:b/>
        </w:rPr>
        <w:t xml:space="preserve">Quelle: </w:t>
      </w:r>
      <w:r>
        <w:t>https://mcp.opencaselaw.ch/entscheid/ge_gerichte_DCSO_228_2012</w:t>
      </w:r>
    </w:p>
    <w:p>
      <w:r>
        <w:t>FR: GE_GERICHTE DCSO/228/2012 du 14 juin 2012</w:t>
      </w:r>
    </w:p>
    <w:p>
      <w:r>
        <w:t>IT: GE_GERICHTE DCSO/228/2012 del 14 giugno 2012</w:t>
      </w:r>
    </w:p>
    <w:p>
      <w:pPr>
        <w:pStyle w:val="Heading2"/>
      </w:pPr>
      <w:r>
        <w:t>Regeste</w:t>
      </w:r>
    </w:p>
    <w:p>
      <w:r>
        <w:t>Résumé: Les 49 poursuites intentées par le plaignant sont détournées de leur finalité. Poursuite abusive admise.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w:t>
      </w:r>
    </w:p>
    <w:p>
      <w:r>
        <w:t>Il est constant qu'une décision constatant la nullité d'une poursuite est une mesure sujette à plainte que le plaignant, créancier, a qualité pour attaquer par cette voie.</w:t>
      </w:r>
    </w:p>
    <w:p>
      <w:r>
        <w:rPr>
          <w:b/>
        </w:rPr>
        <w:t>E. 1.2</w:t>
      </w:r>
    </w:p>
    <w:p>
      <w:r>
        <w:t>La plainte contre une mesure de l'Office doit être déposée dans les dix jours suivant celui où le plaignant a eu connaissance de la décision attaquée (art. 17 al. 2 LP).</w:t>
      </w:r>
    </w:p>
    <w:p>
      <w:r>
        <w:t>- 7/10 -</w:t>
      </w:r>
    </w:p>
    <w:p>
      <w:r>
        <w:t>A/540/2012-CS En l'espèce, la décision litigieuse a été expédiée en recommandé à l'adresse du plaignant le 7 février 2012. Formée le 17 février 2012, la plainte l'a été en temps utile. Respectant pour le surplus les exigences de forme prescrites par la loi (art. 9 al. 1 LaLP), la présente plainte est recevable.</w:t>
      </w:r>
    </w:p>
    <w:p>
      <w:r>
        <w:rPr>
          <w:b/>
        </w:rPr>
        <w:t>E. 1.3</w:t>
      </w:r>
    </w:p>
    <w:p>
      <w:r>
        <w:t>Conformément à l'art. 78 LPA (applicable par renvoi de l'art. 9 al. 4 LaLP), l'instruction de la plainte peut notamment être suspendue à la requête simultanée de toutes les parties (let. a). En l'espèce, cette condition n'est pas remplie vu le refus de toute suspension opposé par l'intimé. La requête de suspension ne saurait en outre se fonder sur l'art. 14 al. 1 LPA, aucune procédure, ayant une portée préjudicielle, n'étant actuellement pendante. Il suit de là que la requête de suspension doit être rejetée.</w:t>
      </w:r>
    </w:p>
    <w:p>
      <w:r>
        <w:rPr>
          <w:b/>
        </w:rPr>
        <w:t>E. 2.1</w:t>
      </w:r>
    </w:p>
    <w:p>
      <w:r>
        <w:t>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97 III 3; 88 III 12; 78 III 49; cf. ég. avec d'autres références: Franco LORANDI, Betreibungs- rechtliche Beschwerde und Nichtigkeit, 2000, ad art. 17 n° 310 ss).</w:t>
      </w:r>
    </w:p>
    <w:p>
      <w:r>
        <w:rPr>
          <w:b/>
        </w:rPr>
        <w:t>E. 2.2</w:t>
      </w:r>
    </w:p>
    <w:p>
      <w:r>
        <w:t>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w:t>
      </w:r>
    </w:p>
    <w:p>
      <w:r>
        <w:t>- 8/10 -</w:t>
      </w:r>
    </w:p>
    <w:p>
      <w:r>
        <w:t>A/540/2012-CS contre une personne dans l'unique but de détruire sa bonne réputation, ou encore lorsqu'il reconnaît, devant l'office des poursuites ou le poursuivi lui-même, qu'il n'agit pas envers le véritable débiteur (TF, 5A_250/2007 du 19 septembre 2007, consid. 3.1).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Le même arrêt cite encore les exemples du créancier qui procède de manière générale par voie de poursuite contre une personne dans la seule intention de ruiner sa bonne réputation et du poursuivant qui admet devant l'office ou le poursuivi lui-même qu'il n'agit pas envers le débiteur effectif (ATF 115 III 18, JT 1991 II 76; cf. ég. TF, 7B.45/2006 du 28 juillet 2006, consid. 3.1).</w:t>
      </w:r>
    </w:p>
    <w:p>
      <w:r>
        <w:rPr>
          <w:b/>
        </w:rPr>
        <w:t>E. 2.3</w:t>
      </w:r>
    </w:p>
    <w:p>
      <w:r>
        <w:t>En l'espèce, il convient de déterminer si des circonstances exceptionnelles permettant de conclure à l'existence d'une poursuite abusive – et donc nulle – sont établies. Dans sa décision du 12 janvier 2012, aujourd'hui définitive, la Chambre de céans a retenu que la répétitivité des poursuites engagées par M. R______ à l'encontre des débiteurs concernés – dont l'intimé – procédait d'un abus de droit. Ces poursuites n'avaient pas été intentées pour encaisser des créances. La mainlevée des oppositions formées aux commandements de payer n'avait en effet jamais été demandée et M. R_______ n'avait, à ce jour, pas saisi le juge ordinaire. Les poursuites en cause avaient donc bien pour but d'incommoder les débiteurs concernés et de porter atteinte à la disponibilité de leurs biens, la créance en poursuite étant de plus de 850'000 fr. Comme la Chambre de céans a récemment eu l'occasion de l'indiquer au plaignant dans une cause parallèle relevant du même complexe de faits (décision DCSO/134/2012 du 5 avril 2012 dans la cause A/329/2012), une telle motivation – qui n'a au demeurant pas été contestée devant le Tribunal fédéral – s'applique également à la présente espèce. Il apparaît en effet clairement que les quarante-neuf poursuites intentées par le plaignant contre l'intimé – dont celle en cause – sont détournées de leur finalité. Elles ne tendent à l'évidence pas à recouvrer une créance ou à interrompre la prescription. Preuve en est que M. R______ n'a, depuis 2004, jamais requis la mainlevée des oppositions systématiquement formées par l'intimé à l'encontre</w:t>
      </w:r>
    </w:p>
    <w:p>
      <w:r>
        <w:t>- 9/10 -</w:t>
      </w:r>
    </w:p>
    <w:p>
      <w:r>
        <w:t>A/540/2012-CS des commandements de payer ni introduit d'action en reconnaissance de dette à son encontre. Or s'il considérait vraiment que la convention du 11 novembre 2003, qu'il invoque comme fondement à ses poursuites, était entachée d'un vice, nul doute qu'il l'aurait invalidée en temps utile et qu'il aurait agi en justice pour récupérer les sommes qu'il prétend avoir payé en trop. Il n'en a toutefois rien été. Ces circonstances démontrent incontestablement que les notifications à répétition de commandements de payer n'avaient pour but que de faire pression sur l'intimé et de porter atteinte à sa réputation. Dans ces conditions, il convient d'admettre l'abus de droit. C'est donc à juste titre que l'Office a constaté la nullité de la poursuite considérée. La plainte, dénuée de tout fondement, sera rejetée.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- 10/10 -</w:t>
      </w:r>
    </w:p>
    <w:p>
      <w:r>
        <w:t>A/540/2012-CS PAR CES MOTIFS, La Chambre de surveillance : A la forme : Déclare recevable la plainte formée le 17 février 2012 par M. R______. Rejette la demande de suspension de l'instruction de la cause formée le 13 avril 2012 par M. R______. Au fond : Rejette la plainte. Siégeant : Monsieur Grégory BOVEY, président; Monsieur Antoine HAMDAN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