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DCSO/227/2018 vom 12. April 2018</w:t>
      </w:r>
    </w:p>
    <w:p>
      <w:r>
        <w:t>GE Cour de justice, 2018-04-12, FR</w:t>
      </w:r>
    </w:p>
    <w:p>
      <w:r>
        <w:rPr>
          <w:b/>
        </w:rPr>
        <w:t xml:space="preserve">Quelle: </w:t>
      </w:r>
      <w:r>
        <w:t>https://mcp.opencaselaw.ch/entscheid/ge_gerichte_DCSO_227_2018</w:t>
      </w:r>
    </w:p>
    <w:p>
      <w:r>
        <w:t>FR: GE_GERICHTE DCSO/227/2018 du 12 avril 2018</w:t>
      </w:r>
    </w:p>
    <w:p>
      <w:r>
        <w:t>IT: GE_GERICHTE DCSO/227/2018 del 12 aprile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A/4409/2017-CS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En l'occurrence, l'Office a établi le commandement de payer dans les dix jours ouvrables à compter de la réception de la réquisition de poursuite, ce qui n'est pas déraisonnable. Dans le même délai, il a entamé la procédure de notification proprement dite en remettant à la Poste, pour notification à la poursuivie, le commandement de payer. Environ quinze jours ouvrables après le retour de cet acte, non notifié, l'Office a adressé une convocation à la débitrice. Puis, environ deux semaines après que l'échec de cette première démarche est devenu patent, il lui a envoyé une sommation. Du retour de cette dernière, avec la mention que la</w:t>
      </w:r>
    </w:p>
    <w:p>
      <w:r>
        <w:t>- 4/5 -</w:t>
      </w:r>
    </w:p>
    <w:p>
      <w:r>
        <w:t>A/4409/2017-CS destinataire était introuvable à l'adresse indiquée, au dépôt de la plainte, deux semaines seulement se sont écoulées, ce qui n'est pas déraisonnable au vu de la nécessité de procéder à des investigations sur place aux fins de déterminer si la débitrice réside ou non à l'adresse indiquée par la plaignante. Il s'avère ainsi que l'Office, après avoir établi le commandement de payer dans un délai non déraisonnable, a immédiatement entamé la procédure de notification et a poursuivi celle-ci sans désemparer depuis lors, ne laissant jamais s'écouler un délai de plus de deux semaines sans engager une nouvelle démarche. Il y a lieu à cet égard de souligner que l'envoi à la débitrice d'une convocation, puis d'une sommation, bien que non prévu par la loi, ne saurait en soi être taxé de perte de temps susceptible de conduire à un retard non justifié dans la mesure où, dans la pratique, cette démarche conduit souvent à une notification de l'acte plus rapide que la procédure ordinaire. Aucun retard ne peut donc être reproché à l'Office, à tout le moins au jour du dépôt de la plainte. Celle-ci doit donc être rejetée.</w:t>
      </w:r>
    </w:p>
    <w:p>
      <w:r>
        <w:rPr>
          <w:b/>
        </w:rPr>
        <w:t>E. 3</w:t>
      </w:r>
    </w:p>
    <w:p>
      <w:r>
        <w:t>La procédure de plainte est gratuite (art. 20a al. 2 ch. 5 LP et art. 61 al. 2 let. a OELP) et il ne peut être alloué aucuns dépens dans cette procédure (art. 62 al. 2 OELP). * * * * *</w:t>
      </w:r>
    </w:p>
    <w:p>
      <w:r>
        <w:t>- 5/5 -</w:t>
      </w:r>
    </w:p>
    <w:p>
      <w:r>
        <w:t>A/4409/2017-CS PAR CES MOTIFS, La Chambre de surveillance : A la forme : Déclare recevable la plainte formée le 3 novembre 2017 par A______ SA pour retard injustifié de la part de l'Office des poursuites dans le traitement de la réquisition de poursuite déposée le 6 juillet 2017. Au fond : La rejette. Siégeant : Monsieur Patrick CHENAUX, président; Messieurs Michel BERTSCHY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