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DCSO/227/2007 vom 3. Mai 2007</w:t>
      </w:r>
    </w:p>
    <w:p>
      <w:r>
        <w:t>GE Cour de justice, 2007-05-03, FR</w:t>
      </w:r>
    </w:p>
    <w:p>
      <w:r>
        <w:rPr>
          <w:b/>
        </w:rPr>
        <w:t xml:space="preserve">Quelle: </w:t>
      </w:r>
      <w:r>
        <w:t>https://mcp.opencaselaw.ch/entscheid/ge_gerichte_DCSO_227_2007</w:t>
      </w:r>
    </w:p>
    <w:p>
      <w:r>
        <w:t>FR: GE_GERICHTE DCSO/227/2007 du 3 mai 2007</w:t>
      </w:r>
    </w:p>
    <w:p>
      <w:r>
        <w:t>IT: GE_GERICHTE DCSO/227/2007 del 3 maggio 2007</w:t>
      </w:r>
    </w:p>
    <w:p>
      <w:pPr>
        <w:pStyle w:val="Heading2"/>
      </w:pPr>
      <w:r>
        <w:t>Regeste</w:t>
      </w:r>
    </w:p>
    <w:p>
      <w:r>
        <w:t>Résumé: Abus de droit admis dans le cas d'espèce. Poursuite déclarée nulle. Recours au Tribunal fédéral jugé irrecevable(5A_250/2007).</w:t>
      </w:r>
    </w:p>
    <w:p>
      <w:pPr>
        <w:pStyle w:val="Heading2"/>
      </w:pPr>
      <w:r>
        <w:t>Erwägungen</w:t>
      </w:r>
    </w:p>
    <w:p>
      <w:r>
        <w:rPr>
          <w:b/>
        </w:rPr>
        <w:t>E. 1</w:t>
      </w:r>
    </w:p>
    <w:p>
      <w:r>
        <w:t>La Commission de céans est compétente pour statuer sur les plaintes en matière d’exécution forcée (art. 17 LP ; art. 10 al. 1 LaLP ; art. 56R al. 3 LOJ). Cette voie de droit est subsidiaire à la voie judiciaire (art. 17 al. 1 in initio LP).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 Robert Gilliéron, Commentaire, ad art. 17 n° 88 ; Franco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 Le délai pour porter plainte est de dix jours à compter de celui où le plaignant a eu connaissance de la mesure attaquée (art. 17 al. 2 LP). Comme l’autorité de surveillance doit constater d’office, indépendamment même de toute plainte (art. 22 LP), la nullité de mesures contraires à des dispositions édictées dans l’intérêt public ou dans l’intérêt de personnes non parties à la procédure, la Commission de céans entre en matière sur les griefs de nullité soulevés même tardivement, si la sanction des vices dénoncés, supposés fondés, réside bien dans la nullité des mesures qui en sont prétendument affectées. 1.b. En l’espèce, la plainte a été déposée dans les formes prescrites auprès de la Commission de surveillance contre un commandement de payer, soit un acte sujet à plainte, par le poursuivi qui a la qualité pour agir par cette voie (art. 17 al. 1 .et 2 LP ; art. 13 LaLP).</w:t>
      </w:r>
    </w:p>
    <w:p>
      <w:r>
        <w:t>Elle tend à l'annulation de la poursuite considérée au motif qu'elle procède d'un abus de droit.</w:t>
      </w:r>
    </w:p>
    <w:p>
      <w:r>
        <w:t>Elle sera donc déclarée recevable.</w:t>
      </w:r>
    </w:p>
    <w:p>
      <w:r>
        <w:rPr>
          <w:b/>
        </w:rPr>
        <w:t>E. 2</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w:t>
      </w:r>
    </w:p>
    <w:p>
      <w:r>
        <w:t>- 4 -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Commentaire, ad art. 8a n° 36, ad art. 17 n° 23, ad Remarques introductives aux art. 38-45 n° 35 ss ; Karl Wüthrich / Peter Schoch,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 c in fine du 22 mai 2003 ; DCSO/524/04 consid. 2. a in fine du 28 octobre 2004). Il sied, par ailleurs, de rappeler qu'en droit suisse des poursuites, toute personne peut engager immédiatement une poursuite même si elle n'est pas (encore) créancière (ATF 102 III 1 consid. 1b) et faire reconnaître son droit par la voie de la procédure ordinaire ou administrative après que le poursuivi a fait opposition (cf. arrêts du Tribunal</w:t>
      </w:r>
    </w:p>
    <w:p>
      <w:r>
        <w:t>- 5 - non publiés 7B. 36/2006 du 16 mai 2006, consid. 2.2 et 7B.219/2006-220/2006 du 16 avril 2007). 3.a. En l'espèce, la poursuivante invoque dans son commandement de payer la cause suivante : "Complicité de vol. Pour avoir laissé voler mon coffre à l'UBS. Sans appeler la police, ni avoir activé l'assurance-vol".</w:t>
      </w:r>
    </w:p>
    <w:p>
      <w:r>
        <w:t>Dans sa décision de classement de la plainte déposée par la poursuivante à l'encontre du plaignant -et dans laquelle il est, notamment, reproché au précité de ne pas avoir appelé la police-, rendue le 25 août 2003 (P/5933/03), le Procureur général a retenu ce qui suit : "En substance, vous reprochez à ce dernier, de manière difficilement compréhensible, d'être impliqué d'une manière ou d'une autre dans la disparition de bijoux dont vous auriez été propriétaire", et a considéré que les faits dénoncés "pour autant qu'on puisse les comprendre", ne permettaient pas "d'imputer une infraction pénale à la personne" mise en cause.</w:t>
      </w:r>
    </w:p>
    <w:p>
      <w:r>
        <w:t>Suite à cette décision de classement contre laquelle la poursuivie n'a pas recouru, le Procureur général a également classé la plainte P/6414/03, tenant compte également du fait que la poursuivie avait été la cliente du plaignant.</w:t>
      </w:r>
    </w:p>
    <w:p>
      <w:r>
        <w:t>La Commission de céans retient en conséquence qu'en diligentant contre le plaignant une poursuite dont la cause invoquée est "Complicité de vol" alors que la plainte pénale a été classée il y a près de quatre ans pour les motifs rappelés ci-dessus, le seul but de la poursuivante est de porter atteinte à la réputation et au crédit du plaignant qui exerce la profession d'avocat et que cette manœuvre est illicite. 3.b. La Commission de céans relèvera encore, s'agissant du grief invoqué par la poursuivie dans ses observations à la plainte, à savoir que le plaignant avait auditionné deux des témoins principaux avant leur convocation par les inspecteurs de la sûreté, ce qui, selon elle, "a entraîné directement le préjudice", que le Tribunal de première instance, statuant sur l'action en libération de dette intentée par la précitée qui alléguait que le poursuivi aurait exécuté son mandat de manière "lacunaire" ou "contraire aux usages", s'est, dans son jugement du 9 avril 2003 (JTPI/4746/2003), prononcé à ce sujet. Dans ses considérants "EN DROIT", let. A. a) § 11, dite juridiction relève : "…il résulte clairement que ce n'est pas pour ce motif (l'audition d'un futur témoin) que les prétentions de Mme H______ en relation avec des bijoux confiés à un tiers ont été écartées par la Chambre d'accusation, mais bien principalement parce qu'aucun inventaire des objets confiés n'avait été établi, ni produit, de sorte que le bien-fondé de ces prétentions ne pouvait être admis. Les déclarations de la femme de chambre de la demanderesse furent écartées d'abord parce qu'elles ne pouvaient porter que sur une partie des bijoux que la demanderesse alléguait avoir confiés à un tiers, et ensuite parce qu'en tout état de cause, elles émanaient d'une personne économiquement dépendante de la demanderesse. Il s'ensuit que le fait que M. P______ ait recueilli les déclarations de ce futur témoin n'a joué qu'un rôle insignifiant dans le rejet des prétentions de la demanderesse ; il n'y a donc pas de rapport de causalité adéquate entre cette violation des us et coutumes de</w:t>
      </w:r>
    </w:p>
    <w:p>
      <w:r>
        <w:t>- 6 - l'Ordre des Avocats et le fait que Mme H______ n'a pu obtenir satisfaction devant la Chambre d'accusation".</w:t>
      </w:r>
    </w:p>
    <w:p>
      <w:r>
        <w:rPr>
          <w:b/>
        </w:rPr>
        <w:t>E. 4</w:t>
      </w:r>
    </w:p>
    <w:p>
      <w:r>
        <w:t>Force est donc de retenir qu'en recourant à l'institution du droit de l'exécution forcée pour obtenir la réparation d'un prétendu dommage, alors que le Procureur général, dans sa décision de classement, a retenu qu'aucune infraction pénale ne pouvait être imputée au plaignant, que la Chambre d'accusation a écarté ses prétentions en relation avec des bijoux confiés à un tiers et que le Tribunal de première instance a rejeté ses conclusions en libération de dette basées sur une mauvaise exécution du mandat qu'elle avait confié au précité, la plaignante commet un abus de droit qui doit être sanctionné par la nullité de la poursuite considérée.</w:t>
      </w:r>
    </w:p>
    <w:p>
      <w:r>
        <w:rPr>
          <w:b/>
        </w:rPr>
        <w:t>E. 5</w:t>
      </w:r>
    </w:p>
    <w:p>
      <w:r>
        <w:t>La plainte sera en conséquence admise et la poursuite n° 07 xxxx92 M déclarée nulle. Conformément à l'art. 8a al. 3 let. a LP dite poursuite ne devra pas être portée à la connaissance de tiers. * * * * *</w:t>
      </w:r>
    </w:p>
    <w:p>
      <w:r>
        <w:t>- 7 - P A R C E S M O T I F S , L A C O M M I S S I O N D E S U R V E I L L A N C E S I É G E A N T E N S E C T I O N : A la forme : Déclare recevable la plainte formée le 5 février 2007 par M. P______ contre le commandement de payer, poursuite n° 07 xxxx92 M. Au fond : 1. L'admet. 2. Déclare nulle la poursuite n° 07 xxxx92 M. 3. Déboute les parties de toutes autres conclusions.</w:t>
      </w:r>
    </w:p>
    <w:p>
      <w:r>
        <w:t>Siégeant : Mme Ariane WEYENETH, présidente ; M. Didier BROSSET et Mme Florence CASTELLA, juges assesseur(e)s. Au nom de la Commission de surveillance :</w:t>
      </w:r>
    </w:p>
    <w:p>
      <w:r>
        <w:t>Marisa BATISTA Ariane WEYENETH 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