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DCSO/226/2024 vom 30. Mai 2024</w:t>
      </w:r>
    </w:p>
    <w:p>
      <w:r>
        <w:t>GE Cour de justice, 2024-05-30, FR</w:t>
      </w:r>
    </w:p>
    <w:p>
      <w:r>
        <w:rPr>
          <w:b/>
        </w:rPr>
        <w:t xml:space="preserve">Quelle: </w:t>
      </w:r>
      <w:r>
        <w:t>https://mcp.opencaselaw.ch/entscheid/ge_gerichte_DCSO_226_2024</w:t>
      </w:r>
    </w:p>
    <w:p>
      <w:r>
        <w:t>FR: GE_GERICHTE DCSO/226/2024 du 30 mai 2024</w:t>
      </w:r>
    </w:p>
    <w:p>
      <w:r>
        <w:t>IT: GE_GERICHTE DCSO/226/2024 del 30 maggio 2024</w:t>
      </w:r>
    </w:p>
    <w:p>
      <w:pPr>
        <w:pStyle w:val="Heading2"/>
      </w:pPr>
      <w:r>
        <w:t>Erwägungen</w:t>
      </w:r>
    </w:p>
    <w:p>
      <w:r>
        <w:rPr>
          <w:b/>
        </w:rPr>
        <w:t>E. 1</w:t>
      </w:r>
    </w:p>
    <w:p>
      <w:r>
        <w:t>Une plainte manifestement mal fondée ou irrecevable peut être écartée sans instruction préalable par une décision sommairement motivée (art. 72 LPA, applicable par renvoi de l'article 9 al. 4 LaLP). En l'occurrence, la Chambre de surveillance rendra une décision sans instruction compte tenu de l'issue certaine de la plainte au vu des faits allégués et des griefs exposés dans le cadre de la plainte et des observations sur effet suspensif.</w:t>
      </w:r>
    </w:p>
    <w:p>
      <w:r>
        <w:rPr>
          <w:b/>
        </w:rPr>
        <w:t>E. 2</w:t>
      </w:r>
    </w:p>
    <w:p>
      <w:r>
        <w:t>Déposée en temps utile (art. 17 al. 2 LP) et dans les formes prévues par la loi (art. 9 al. 1 et 2 LALP; art. 65 al. 1 et 2 LPA, applicables par renvoi de l'art. 9 al. 4 LALP), auprès de l'autorité compétente pour en connaître (art. 6 al. 1 et</w:t>
      </w:r>
    </w:p>
    <w:p>
      <w:r>
        <w:rPr>
          <w:b/>
        </w:rPr>
        <w:t>E. 3</w:t>
      </w:r>
    </w:p>
    <w:p>
      <w:r>
        <w:t>L'unique grief adressé par le plaignant à l'avis de saisie litigieux consiste dans le fait que la poursuite ne peut se continuer tant qu'une action en libération de dette est en cours.</w:t>
      </w:r>
    </w:p>
    <w:p>
      <w:r>
        <w:t>3.1.1 En application de l'article 78 LP, l'opposition suspend la poursuite. Elle ne peut être reprise qu'une fois obtenue une décision exécutoire écartant expressément l'opposition (prononcé de la mainlevée de l'opposition; art. 79 et 88 LP).</w:t>
      </w:r>
    </w:p>
    <w:p>
      <w:r>
        <w:t>Les actes effectués en continuation de la poursuite alors qu'elle est suspendue par l'opposition sont nuls (ATF 92 III 55 = JT 1966 II 66; RUEDIN, Commentaire romand, Poursuite et faillite, 2005, n° 2 ad art. 78 LP).</w:t>
      </w:r>
    </w:p>
    <w:p>
      <w:r>
        <w:t>3.1.2 Lorsque la mainlevée provisoire au sens de l'art. 82 LP a été accordée, le débiteur peut, dans les vingt jours à compter du prononcé de la mainlevée, intenter une action en libération de dette (art. 83 al. 2 LP). La mainlevée demeure provisoire aussi longtemps que la procédure en libération de dette est en cours; elle devient définitive si l'action en libération de dette du débiteur est rejetée (art. 83 al. 4 LP).</w:t>
      </w:r>
    </w:p>
    <w:p>
      <w:r>
        <w:t>En application de l'art. 83 al. 1 LP, le créancier au bénéfice d'une décision de mainlevée provisoire peut requérir la saisie provisoire si le débiteur est sujet à la poursuite par voie de saisie. En revanche, il ne pourra requérir la réalisation des biens saisis tant que la mainlevée reste provisoire (art. 118 LP). La poursuite reprend son cours normal si l'action en libération de dette est rejetée (art. 83 al. 4 LP) et le créancier peut requérir la réalisation des biens définitivement saisis (art. 116 LP).</w:t>
      </w:r>
    </w:p>
    <w:p>
      <w:r>
        <w:t>La saisie provisoire prévue à l'art. 83 LP, même si elle doit être exécutée de la même façon que la saisie définitive, n'est ainsi pas une opération de continuation de la poursuite proprement dite au sens de l'art. 88 LP, l'action en libération de dette pendante y faisant obstacle. Il s'agit d'une mesure conservatoire antérieure à cette phase d'exécution, qui intervient précisément parce qu'une continuation de la poursuite aux fins de réalisation ne peut pas encore être requise (ATF 128 III 383 consid. 3; 117 III 26 consid. 1).</w:t>
      </w:r>
    </w:p>
    <w:p>
      <w:r>
        <w:rPr>
          <w:b/>
        </w:rPr>
        <w:t>E. 3.2</w:t>
      </w:r>
    </w:p>
    <w:p>
      <w:r>
        <w:t>En l'espèce, l'état d'avancement de la poursuite et des procédures de mainlevée de l'opposition formée au commandement de payer impliquent que le créancier est autorisé à demander la saisie provisoire au préjudice du débiteur, à titre de mesure conservatoire, même si la continuation de la poursuite, notamment la possibilité de procéder à la réalisation des biens saisis, est provisoirement immobilisée par l'action en libération de dette.</w:t>
      </w:r>
    </w:p>
    <w:p>
      <w:r>
        <w:t>La créancière était par conséquent fondée à requérir la saisie provisoire et l'Office à l'exécuter, de sorte que la plainte sera rejetée.</w:t>
      </w:r>
    </w:p>
    <w:p>
      <w:r>
        <w:rPr>
          <w:b/>
        </w:rPr>
        <w:t>E. 4</w:t>
      </w:r>
    </w:p>
    <w:p>
      <w:r>
        <w:t>Vu la présente décision, la requête d'effet suspensif est devenue sans objet.</w:t>
      </w:r>
    </w:p>
    <w:p>
      <w:r>
        <w:t>- 5/6 -</w:t>
      </w:r>
    </w:p>
    <w:p>
      <w:r>
        <w:t>A/1680/2024-CS</w:t>
      </w:r>
    </w:p>
    <w:p>
      <w:r>
        <w:rPr>
          <w:b/>
        </w:rPr>
        <w:t>E. 5</w:t>
      </w:r>
    </w:p>
    <w:p>
      <w:r>
        <w:t>La procédure devant l'autorité de surveillance est gratuite (art. 20a al. 2 ch. 5 LP; art. 61 al. 2 let. a OELP) et ne donne pas lieu à l'allocation de dépens (art. 62 al. 2 OELP). Toutefois, une partie qui use de procédés téméraires ou de mauvaise foi peut être condamnée à une amende de 1'500 fr. au plus ainsi qu'au paiement des émoluments et des débours (art. 20a al. 2 ch. 5, deuxième phrase, LP). En l'espèce, le plaignant n'ignorait pas que sa plainte et la requête d'effet suspensif dont elle était assortie étaient vouées à l'échec. Son argumentation consistant à s'opposer à un avis de saisie prétendument émis en violation de la suspension de la poursuite par le dépôt d'une action en libération de dette avait été écartée dans le cadre d'une procédure de plainte antérieure. A ce stade, la Chambre l'avertira qu'il s'expose à ce que ses procédés soient sanctionnés en application de l'art. 20a al. 2 ch. 5 LP en cas de dépôt d'une nouvelle plainte dans des circonstances similaires et pour les mêmes griefs.</w:t>
      </w:r>
    </w:p>
    <w:p>
      <w:r>
        <w:t>L'allocation de dépens, même en cas de procédés téméraires ou de mauvaise foi n'est pas prévue.</w:t>
      </w:r>
    </w:p>
    <w:p>
      <w:r>
        <w:t>* * * * *</w:t>
      </w:r>
    </w:p>
    <w:p>
      <w:r>
        <w:t>- 6/6 -</w:t>
      </w:r>
    </w:p>
    <w:p>
      <w:r>
        <w:t>A/1680/2024-CS PAR CES MOTIFS, La Chambre de surveillance : A la forme : Déclare recevable la plainte du 17 mai 2024 de A______ contre l'avis de saisie 7 mai 2024 dans la poursuite n° 2______. Au fond : La rejette. Avertit A______ qu'en cas de nouvelle plainte dans des circonstances similaires et pour les mêmes motifs, il s'expose aux sanctions prévues par l'art. 20a al. 2 ch. 5 LP, soit à la condamnation à une amende de 1'500 fr. au plus ainsi qu'au paiement des émoluments et des débours. Siégeant : Monsieur Jean REYMOND, président; Madame Ekaterine BLINOVA et Monsieur Anthony HUGUENIN, juges assesseurs ; Madame Véronique AMAUDRY-PISCETTA, greffière.</w:t>
      </w:r>
    </w:p>
    <w:p>
      <w:r>
        <w:t>Le président :</w:t>
      </w:r>
    </w:p>
    <w:p>
      <w:r>
        <w:t>Jean REYMOND</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