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DCSO/226/2022 vom 9. Juni 2022</w:t>
      </w:r>
    </w:p>
    <w:p>
      <w:r>
        <w:t>GE Cour de justice, 2022-06-09, FR</w:t>
      </w:r>
    </w:p>
    <w:p>
      <w:r>
        <w:rPr>
          <w:b/>
        </w:rPr>
        <w:t xml:space="preserve">Quelle: </w:t>
      </w:r>
      <w:r>
        <w:t>https://mcp.opencaselaw.ch/entscheid/ge_gerichte_DCSO_226_2022</w:t>
      </w:r>
    </w:p>
    <w:p>
      <w:r>
        <w:t>FR: GE_GERICHTE DCSO/226/2022 du 9 juin 2022</w:t>
      </w:r>
    </w:p>
    <w:p>
      <w:r>
        <w:t>IT: GE_GERICHTE DCSO/226/2022 del 9 giugno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w:t>
      </w:r>
    </w:p>
    <w:p>
      <w:r>
        <w:t>- 5/11 -</w:t>
      </w:r>
    </w:p>
    <w:p>
      <w:r>
        <w:t>A/417/2022-CS du débiteur (ATF 114 III 78; arrêt du Tribunal fédéral 5A_680/2015 du</w:t>
      </w:r>
    </w:p>
    <w:p>
      <w:r>
        <w:rPr>
          <w:b/>
        </w:rPr>
        <w:t>E. 1.2</w:t>
      </w:r>
    </w:p>
    <w:p>
      <w:r>
        <w:t>En l'occurrence, la plainte est dirigée contre un procès-verbal de saisie modifiant un procès-verbal de saisie antérieur, soit un acte pouvant être contesté par la voie de la plainte, et émane d'une partie directement touchée dans ses intérêts protégés. Elle respecte la forme écrite, comporte une motivation et des conclusions et a été déposée dans les dix jours suivant la communication de l'acte contesté.</w:t>
      </w:r>
    </w:p>
    <w:p>
      <w:r>
        <w:t>On pourrait certes se demander si, en tant qu'elle porte sur les charges de logement admissibles retenues par l'Office, la plainte ne vise pas la simple confirmation d'une décision antérieure. Le montant admis à ce titre dans le procès- verbal de saisie contesté est en effet le même que celui figurant dans le procès- verbal de saisie initial du 17 décembre 2021, qui n'a pas été contesté en temps utile. La question peut en tout état demeurer ouverte dans la mesure où, si le montant retenu devait s'avérer trop bas, il en résulterait une atteinte au minimum vital du débiteur de nature à entraîner la nullité de la décision contestée, laquelle devrait être constatée même en l'absence de plainte.</w:t>
      </w:r>
    </w:p>
    <w:p>
      <w:r>
        <w:t>La plainte doit donc être déclarée recevable. 2.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w:t>
      </w:r>
    </w:p>
    <w:p>
      <w:r>
        <w:t>- 6/11 -</w:t>
      </w:r>
    </w:p>
    <w:p>
      <w:r>
        <w:t>A/417/2022-CS Conférence des préposés aux poursuites et faillites de Suisse (ci-après conférence des préposés; BlSchK 2009, p. 196 ss), respectivement, à Genève, sur les Normes d'insaisissabilité édictées chaque année par l'autorité de surveillance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in CR LP, 2005, n° 82 ad art. 93 LP). Les impôts ne sont pas pris en compte dans le calcul du minimum vital (art. III NI et jurisprudence citée).</w:t>
      </w:r>
    </w:p>
    <w:p>
      <w:r>
        <w:t>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Le minimum vital, op. cit., p. 132). 3. Le plaignant critique en premier lieu la décision de l'Office de ne pas tenir compte dans la détermination de son minimum vital des dépenses liées à l'entretien de sa fille B______, née le ______ 2001.</w:t>
      </w:r>
    </w:p>
    <w:p>
      <w:r>
        <w:t>3.1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(WINKLER, in Kommentar SchKG, 4ème édition, 2017, N° 33 ad art. 93 LP), et s'éteint donc avec l'accession de ce dernier à la majorité (WINKLER, op. cit., N° 34 ad art. 93 LP). Il persiste toutefois après la majorité si l'enfant ne réalise aucun revenu et n'a pas encore achevé sa première formation, par quoi il faut entendre l'obtention de la maturité fédérale ou d'un diplôme de fin d'écolage ("Schuldiplom") (VONDER MÜHLL, in BSK SchKG I, 3ème édition, 2021, N° 24b ad art. 93 LP; arrêt du Tribunal fédéral 5A_45/2010 du 22 février 2010 consid. 2.2; NI-2022 art. II.6).</w:t>
      </w:r>
    </w:p>
    <w:p>
      <w:r>
        <w:t>- 7/11 -</w:t>
      </w:r>
    </w:p>
    <w:p>
      <w:r>
        <w:t>A/417/2022-CS</w:t>
      </w:r>
    </w:p>
    <w:p>
      <w:r>
        <w:t>Un tel droit n'existe plus en revanche lorsque l'enfant majeur vivant dans le ménage du débiteur poursuit des études universitaires ou une formation supérieure (VONDER MÜHLL, op. cit., N° 24b ad art. 93 LP). Selon la jurisprudence en effet (ATF 98 III 34 consid. 2 et 3; arrêts du Tribunal fédéral 5A_429/2013 du 16 août 2013 consid. 4; 7B.200/1999 du 26 novembre 1999 consid. 2), le devoir d'entretien des parents prévu par l'art. 277 al. 2 CC est conditionné à leur capacité financière de telle sorte que, si celle-ci fait défaut (ce qui est en principe le cas si le parent concerné fait l'objet d'une saisie de revenus), un tel devoir n'existe pas. Il ne se justifie pas par ailleurs de privilégier l'enfant majeur poursuivant des études au détriment des créanciers de l'un ou l'autre de ses parents (ATF 98 III 34 consid. 3; arrêt du Tribunal fédéral 7B.200/1999 précité consid. 2a).</w:t>
      </w:r>
    </w:p>
    <w:p>
      <w:r>
        <w:t>Selon un auteur de doctrine (VONDER MÜHLL, op. cit., N° 24b ad art. 93 LP), il se justifie, lorsque l'office entend cesser de tenir compte des frais liés à un enfant majeur, d'octroyer au débiteur (et à l'enfant concerné) un délai d'adaptation aux fins de leur permettre de prendre les mesures utiles (p. ex. requérir des subsides ou une bourse).</w:t>
      </w:r>
    </w:p>
    <w:p>
      <w:r>
        <w:t>3.2 Dans le cas d'espèce, l'enfant B______ est majeure depuis le ______ 2019 et, selon les explications données par le plaignant, a obtenu sa maturité fédérale en juin 2020. Elle a ainsi achevé la première formation décrite par l'art. II.6 NI-2022.</w:t>
      </w:r>
    </w:p>
    <w:p>
      <w:r>
        <w:t>Une obligation d'entretien de la part du débiteur envers elle au sens de l'art. 277 al. 2 CC ne peut par ailleurs être retenue au vu de sa situation financière actuelle.</w:t>
      </w:r>
    </w:p>
    <w:p>
      <w:r>
        <w:t>C'est donc à juste titre que l'Office a refusé de prendre en considération, pour le calcul du minimum vital du débiteur, les dépenses liées à l'entretien de l'enfant B______. L'inverse aurait abouti au résultat – qualifié de choquant par la jurisprudence – que sa formation aurait été économiquement supportée par les créanciers du plaignant.</w:t>
      </w:r>
    </w:p>
    <w:p>
      <w:r>
        <w:t>La plainte est donc, dans cette mesure, mal fondée.</w:t>
      </w:r>
    </w:p>
    <w:p>
      <w:r>
        <w:t>Il convient cela étant, comme le suggère une partie de la doctrine, d'octroyer au débiteur et à l'enfant majeure concernée un délai d'adaptation destiné notamment à permettre à cette dernière de solliciter les aides nécessaires à la poursuite de ses études. Un délai de six mois à compter de la communication du procès-verbal de saisie modifié paraissant à cet égard adéquat, les charges relatives à l'enfant B______, à hauteur de 937 fr. 55 (600 fr. d'entretien de base + 92 fr. 55 d'assurance maladie obligatoire + 200 fr. de repas pris à l'extérieur + 45 fr. de frais de transport) sous déduction des éventuelles allocations d'études revenant à l'intéressée, devront être prises en considération jusqu'au 31 juillet 2022. 4. Dans un deuxième grief, le plaignant reproche à l'Office d'avoir limité à 2'371 fr. par mois les frais de logement admissibles alors qu'il supporte des frais effectifs supérieurs, soit 3'690 fr. par mois.</w:t>
      </w:r>
    </w:p>
    <w:p>
      <w:r>
        <w:t>- 8/11 -</w:t>
      </w:r>
    </w:p>
    <w:p>
      <w:r>
        <w:t>A/417/2022-CS</w:t>
      </w:r>
    </w:p>
    <w:p>
      <w:r>
        <w:t>4.1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(arrêt du Tribunal fédéral 5A_912/2018 du 16 janvier 2019 consid. 3.1.2 et les références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permette au débiteur, qu'il soit propriétaire ou locataire, de réduire sa charge de logement (ATF 129 III 526 consid. 2 et 3). Même s'il n'est pas possible, au cours de la saisie, de résilier le contrat pour une échéance ordinaire, le débiteur peut réduire ses frais de logement par d'autres mesures, par exemple par une restitution anticipée de l'objet loué (art. 264 CO) ou une sous- location totale ou partielle de l'appartement (art. 262 CO) (ATF 129 III 526 consid. 2.1).</w:t>
      </w:r>
    </w:p>
    <w:p>
      <w:r>
        <w:t>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op. cit., p. 137 ss). Le loyer admissible se calcule en retenant qu'un appartement qui comprend autant de pièces, voire une pièce de plus que le nombre de personnes y logeant, est suffisant, étant rappelé qu'à Genève, le nombre de pièces se calcule en tenant compte de la cuisine (SJ 2000 II 214; OCHSNER, Le minimum vital, op. cit., p. 137).</w:t>
      </w:r>
    </w:p>
    <w:p>
      <w:r>
        <w:t>4.2 Dans le cas d'espèce, tant l'Office que le plaignant partent du principe que la situation familiale de ce dernier justifie qu'il habite avec sa famille un logement de cinq pièces. Il n'y a donc pas à revenir sur ce point.</w:t>
      </w:r>
    </w:p>
    <w:p>
      <w:r>
        <w:t>L'Office explique avoir retenu un montant de 2'371 fr. par mois charges comprises en se fondant sur les statistiques publiées par l'OCSTAT. Le plaignant conteste la représentativité de ces statistiques et, s'appuyant sur le résultat des recherches de</w:t>
      </w:r>
    </w:p>
    <w:p>
      <w:r>
        <w:t>- 9/11 -</w:t>
      </w:r>
    </w:p>
    <w:p>
      <w:r>
        <w:t>A/417/2022-CS logement qu'il a effectuées, considère que son loyer actuel correspond aux loyers usuels à Genève.</w:t>
      </w:r>
    </w:p>
    <w:p>
      <w:r>
        <w:t>Il ne peut être reproché à l'Office de s'être fondé pour établir le loyer usuel d'un appartement de cinq pièces à Genève sur les statistiques publiées par l'OCSTAT. Certes, celles-ci ne peuvent refléter l'évolution au jour le jour des loyers en raison du laps de temps de quelques mois nécessaire à l'obtention puis au traitement des données pertinentes. Ce biais peut toutefois être corrigé en cas de forte augmentation ou diminution du niveau des loyers par la marge d'appréciation dont bénéficie l'Office dans la fixation des charges de logement admissibles. Elles ont surtout le mérite de donner une image de l'ensemble des loyers appliqués dans le canton, sans faire de distinction entre les catégories et lieux plus ou moins recherchés, et à ce titre doivent être considérées comme représentatives de l'usage local. Enfin, le grief soulevé par le plaignant selon lequel ces statistiques intégreraient de nombreux loyers anciens et donc peu chers, tirant la moyenne vers le bas, tombe à faux dans la mesure où, pour apprécier les coûts de logement admissibles, seuls doivent être pris en considération les loyers payés par de nouveaux locataires.</w:t>
      </w:r>
    </w:p>
    <w:p>
      <w:r>
        <w:t>A l'inverse, les résultats de recherches effectuées par le plaignant ne sauraient être considérés comme représentatifs d'un usage local, ne serait-ce que parce que l'on ignore les critères utilisés. L'examen des pièces produites paraît à cet égard indiquer que le plaignant a concentré ses recherches sur quelques quartiers du centre ville au détriment de la périphérie et des communes excentrées, ce qui est de nature à fausser les résultats.</w:t>
      </w:r>
    </w:p>
    <w:p>
      <w:r>
        <w:t>D'après le tableau T 05.04.2.02 établi par l'OCSTAT (état au 1er juin 2022), indiquant le loyer mensuel moyen des logements selon le nombre de pièces, la nature du logement et le statut du bail, le loyer mensuel (loyer libre) d'un appartement de 5 pièces loué à de nouveaux locataires au cours des douze derniers mois était de 2'303 fr. en 2021. En tenant compte des charges mensuelles d'eau chaude et de chauffage, qui peuvent être estimées à 250 fr., le loyer admissible du débiteur s'élève ainsi à 2'553 fr. par mois, montant qui sera arrondi à 2'600 fr. par mois, soit une somme légèrement supérieure à celle dont l'Office a tenu compte.</w:t>
      </w:r>
    </w:p>
    <w:p>
      <w:r>
        <w:t>L'argument du plaignant selon lequel ses recherches seraient d'emblée vouées à l'échec dès lors que les régies auraient pour pratique d'écarter les candidats faisant l'objet de poursuites doit lui aussi être écarté. Outre le fait que le plaignant ne produit aucune pièce, en particulier aucun courrier de refus, de nature à démontrer qu'il aurait été évincé pour un tel motif, ses revenus apparaissent suffisants pour acquitter un loyer conforme aux usages locaux, tel que pris en compte dans le calcul de la quotité saisissable.</w:t>
      </w:r>
    </w:p>
    <w:p>
      <w:r>
        <w:t>Il n'y a enfin pas lieu d'octroyer au plaignant un délai pour adapter ses frais de logement effectifs, l'Office lui ayant signifié en février 2020 déjà, dans le cadre d'une autre série, que ceux-ci ne pouvaient être pris en compte dans leur totalité.</w:t>
      </w:r>
    </w:p>
    <w:p>
      <w:r>
        <w:t>- 10/11 -</w:t>
      </w:r>
    </w:p>
    <w:p>
      <w:r>
        <w:t>A/417/2022-CS 5. 5.1 Les revenus du débiteur ne peuvent être saisis que pour un an (art. 93 al. 2 LP). Il s'agit là d'une règle édictée dans l'intérêt public dont la violation entraîne la nullité, le cas échéant partielle, de la saisie (ATF 112 III 19 consid. 2a).</w:t>
      </w:r>
    </w:p>
    <w:p>
      <w:r>
        <w:t>5.2 En l'occurrence, le procès-verbal de saisie mentionne que celle-ci est en vigueur du 23 octobre 2021 au 4 novembre 2022, soit une année et treize jours, ce qui viole l'injonction de l'art. 93 al. 2 LP.</w:t>
      </w:r>
    </w:p>
    <w:p>
      <w:r>
        <w:t>La durée de la saisie devra donc être ramenée à une année, avec pour conséquence qu'elle expirera le 22 octobre 2022.</w:t>
      </w:r>
    </w:p>
    <w:p>
      <w:r>
        <w:rPr>
          <w:b/>
        </w:rPr>
        <w:t>E. 6</w:t>
      </w:r>
    </w:p>
    <w:p>
      <w:r>
        <w:t>En définitive, la plainte doit être partiellement admise et le procès-verbal de saisie rectifié sur les points suivants :  Les frais liés à l'enfant B______, soit 937 fr. 55 par mois sous déduction des éventuelles allocations d'études dont elle bénéficie, devront être pris en compte dans le calcul du minimum vital du débiteur jusqu'au 31 juillet 2022.  Les frais de logement admissibles devront être portés à 2'600 fr. par mois.</w:t>
      </w:r>
    </w:p>
    <w:p>
      <w:r>
        <w:t>L'expiration de la saisie devra pour sa part être ramenée au 22 octobre 2022.</w:t>
      </w:r>
    </w:p>
    <w:p>
      <w:r>
        <w:rPr>
          <w:b/>
        </w:rPr>
        <w:t>E. 7</w:t>
      </w:r>
    </w:p>
    <w:p>
      <w:r>
        <w:t>La procédure de plainte est gratuite (art. 20a al. 2 ch. 5 LP; art. 61 al. 2 lit. a OELP) et il n'est pas alloué de dépens (art. 62 al. 2 OELP).</w:t>
      </w:r>
    </w:p>
    <w:p>
      <w:r>
        <w:t>* * * * *</w:t>
      </w:r>
    </w:p>
    <w:p>
      <w:r>
        <w:t>- 11/11 -</w:t>
      </w:r>
    </w:p>
    <w:p>
      <w:r>
        <w:t>A/417/2022-CS PAR CES MOTIFS, La Chambre de surveillance : A la forme : Déclare recevable la plainte formée le 3 février 2022 par A______ contre le procès- verbal de saisie établi le 18 janvier 2022 dans la série N° 2______. Au fond : L'admet partiellement. Invite l'Office cantonal des poursuites à rectifier le procès-verbal de saisie contesté conformément au considérant 6 de la présente décision. Rejette la plainte pour le surplus.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