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DCSO/225/2021 vom 9. Juni 2021</w:t>
      </w:r>
    </w:p>
    <w:p>
      <w:r>
        <w:t>GE Cour de justice, 2021-06-09, FR</w:t>
      </w:r>
    </w:p>
    <w:p>
      <w:r>
        <w:rPr>
          <w:b/>
        </w:rPr>
        <w:t xml:space="preserve">Quelle: </w:t>
      </w:r>
      <w:r>
        <w:t>https://mcp.opencaselaw.ch/entscheid/ge_gerichte_DCSO_225_2021</w:t>
      </w:r>
    </w:p>
    <w:p>
      <w:r>
        <w:t>FR: GE_GERICHTE DCSO/225/2021 du 9 juin 2021</w:t>
      </w:r>
    </w:p>
    <w:p>
      <w:r>
        <w:t>IT: GE_GERICHTE DCSO/225/2021 del 9 giugno 2021</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pas être attaquées par la voie judiciaire (art. 17 al. 1 LP), telles l'exécution d'une saisie.</w:t>
      </w:r>
    </w:p>
    <w:p>
      <w:r>
        <w:t>- 6/10 -</w:t>
      </w:r>
    </w:p>
    <w:p>
      <w:r>
        <w:t>A/4249/2020-CS</w:t>
      </w:r>
    </w:p>
    <w:p>
      <w:r>
        <w:t>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L'autorité de surveillance doit, indépendamment de toute plainte et en tout temps (ATF 136 III 572 consid. 4), constater la nullité des mesures de l'Office contraires à des dispositions édictées dans l'intérêt public ou dans l'intérêt de personnes qui ne sont pas parties à la procédure (art. 22 al. 1 LP).</w:t>
      </w:r>
    </w:p>
    <w:p>
      <w:r>
        <w:t>D'après la jurisprudence, les actes de poursuite effectués en continuation d'une poursuite alors que celle-ci est suspendue par l'opposition sont nuls au sens de l'art. 22 al. 1 LP; faute d'être fondés sur un commandement de payer exécutoire, de tels actes "heurtent les principes fondamentaux de la poursuite pour dettes" (ATF 109 III 53 consid. 2b). Par conséquent, l'autorité de surveillance doit constater d'office cette nullité, même si la plainte est tardive (ATF 92 III 55, JdT 1966 II 66; arrêt du Tribunal fédéral 5A_713/2018 du 23 janvier 2019 consid. 2.2 et les références citées; RUEDIN, in CR LP, 2005, n. 2 ad art. 78 LP).</w:t>
      </w:r>
    </w:p>
    <w:p>
      <w:r>
        <w:rPr>
          <w:b/>
        </w:rPr>
        <w:t>E. 1.3</w:t>
      </w:r>
    </w:p>
    <w:p>
      <w:r>
        <w:t>En l'espèce, la plainte est tardive en tant qu'elle vise l'avis de saisie du 26 juin 2020 (poursuite n° 1______) et l'avis de participation à la saisie du 26 octobre 2020 (poursuite n° 5______), ces actes ayant été communiqués au plaignant le 1er juillet 2020, respectivement le 7 novembre 2020.</w:t>
      </w:r>
    </w:p>
    <w:p>
      <w:r>
        <w:t>Cela étant, le plaignant soutient que le créancier poursuivant (ci-après : l'intimé) n'était pas en droit de solliciter la continuation des poursuites litigieuses, dans la mesure où les jugements de mainlevée – notifiés à une adresse erronée et prononcés sans qu'il ait été convoqué valablement aux audiences de mainlevée – ne lui seraient pas opposables.</w:t>
      </w:r>
    </w:p>
    <w:p>
      <w:r>
        <w:t>Nonobstant la tardiveté de la plainte, la nullité des avis de saisie – de même que celle d'actes de poursuite subséquents – devrait néanmoins être constatée s'il s'avérait que les oppositions formées par le plaignant n'ont pas été valablement levées par des décisions judiciaires exécutoires. Il convient dès lors d'entrer en matière sur la plainte, laquelle sera déclarée recevable au regard du grief soulevé.</w:t>
      </w:r>
    </w:p>
    <w:p>
      <w:r>
        <w:rPr>
          <w:b/>
        </w:rPr>
        <w:t>E. 2.1</w:t>
      </w:r>
    </w:p>
    <w:p>
      <w:r>
        <w:t>L'autorité de surveillance ne peut pas déclarer nulle, sur la base de l'art. 22 LP, une décision judiciaire, les autorités judiciaires n'appartenant pas au cercle des entités soumises à sa surveillance. Les décisions judiciaires sont obligatoires pour les organes de la poursuite, qui doivent les exécuter même si elles ne sont pas conformes à la LP. Toutefois, comme toute autorité chargée d'appliquer le droit, l'autorité de surveillance peut constater d'office et en tout en temps la nullité d'une décision judiciaire, de même que l'Office peut refuser d'exécuter une décision entachée d'un tel vice (arrêt du Tribunal fédéral 5A_647/2013 du 27 février 2014 consid. 4.2.1 et les références citées).</w:t>
      </w:r>
    </w:p>
    <w:p>
      <w:r>
        <w:t>- 7/10 -</w:t>
      </w:r>
    </w:p>
    <w:p>
      <w:r>
        <w:t>A/4249/2020-CS</w:t>
      </w:r>
    </w:p>
    <w:p>
      <w:r>
        <w:t>Selon la jurisprudence, une décision judiciaire est nulle si le vice dont elle est entachée est particulièrement grave, manifeste ou du moins facilement décelable et si, en outre, la constatation de la nullité ne met pas sérieusement en danger la sécurité du droit. Hormis les cas expressément prévus par la loi, la nullité ne doit être admise qu'exceptionnellement, lorsque les circonstances sont telles que le système d'annulabilité n'offre manifestement pas la protection nécessaire; entrent principalement en considération comme motifs de nullité de graves vices de procédure ainsi que l'incompétence qualifiée de l'autorité qui a rendu la décision, de sorte qu'il serait choquant de maintenir sa décision. L'illégalité d'une décision ne constitue pas par principe un motif de nullité (Ibidem).</w:t>
      </w:r>
    </w:p>
    <w:p>
      <w:r>
        <w:rPr>
          <w:b/>
        </w:rPr>
        <w:t>E. 2.2</w:t>
      </w:r>
    </w:p>
    <w:p>
      <w:r>
        <w:t>Pour déployer des effets, les décisions judiciaires doivent être notifiées aux personnes concernées (en matière civile : art. 136 let. b CPC) selon les formes prévues par la loi.</w:t>
      </w:r>
    </w:p>
    <w:p>
      <w:r>
        <w:t>Selon l'art. 138 al. 1 CPC, les citations, les ordonnances et les décisions sont notifiées par envoi recommandé ou d'une autre manière contre accusé de réception. L'acte est réputé notifié lorsqu'il a été remis au destinataire, à un de ses employés ou à la personne de seize ans au moins vivant dans le même ménage. Aux termes de l'art. 138 al. 3 let. a CPC concernant les envois recommandés, la notification est réputée avoir eu lieu si l'envoi n'a pas été retiré à l'expiration du délai de sept jours à compter de l'échec de la remise.</w:t>
      </w:r>
    </w:p>
    <w:p>
      <w:r>
        <w:t>La notification fictive d'un pli recommandé ne s'applique à l'échéance du délai de garde de sept jours que dans l'hypothèse où le destinataire devait s'attendre, avec une certaine vraisemblance, à recevoir une communication d'une autorité (arrêt du Tribunal fédéral 5A_454/2012 du 22 août 2012 consid. 4.2.1 et les références citées). Ce devoir existe dès que le destinataire est partie à une procédure ayant cours (ATF 130 III 396 consid. 1.2.3, JdT 2005 II 87). Ainsi, c'est seulement à partir de la litispendance que naît une relation procédurale contraignant les parties à se comporter selon les règles de la bonne foi, c'est-à-dire, notamment, à veiller à ce que les actes officiels concernant la procédure puissent leur être notifiés (ATF 138 III 225 consid. 3.1, JdT 2012 II 457).</w:t>
      </w:r>
    </w:p>
    <w:p>
      <w:r>
        <w:t>En matière de droit des poursuites, le Tribunal fédéral a jugé que l'instance de mainlevée consécutive à l'interruption de la procédure de poursuite par l'effet d'une opposition constitue une nouvelle procédure. Le débiteur ne doit pas s'attendre, en raison de la seule notification d'un commandement de payer et de l'opposition qu'il a formée à cet égard, à une procédure de mainlevée ni à la notification de décisions dans ce contexte. C'est pourquoi la fiction de notification ne joue pas de rôle pour le premier envoi notifié au débiteur en relation avec la mainlevée (ATF 138 III 225 consid. 3.1, JdT 2012 II 457; 130 III 396 consid. 1.2.3, JdT 2005 II 87; arrêts du Tribunal fédéral 5A_710/2010 du 28 janvier 2011 consid. 3.1; 5A_552/2011 du 10 octobre 2011 consid. 2.1).</w:t>
      </w:r>
    </w:p>
    <w:p>
      <w:r>
        <w:t>- 8/10 -</w:t>
      </w:r>
    </w:p>
    <w:p>
      <w:r>
        <w:t>A/4249/2020-CS</w:t>
      </w:r>
    </w:p>
    <w:p>
      <w:r>
        <w:rPr>
          <w:b/>
        </w:rPr>
        <w:t>E. 2.3</w:t>
      </w:r>
    </w:p>
    <w:p>
      <w:r>
        <w:t>L'opposition au commandement de payer, valablement formée et non retirée, suspend le cours de la poursuite (art. 78 et 88 al. 1 LP). Avant de pouvoir continuer la poursuite, le créancier devra obtenir d'une autorité judiciaire – statuant sur le fond (art. 79 LP) ou dans le cadre d'une procédure sur titre (art. 80 à 82 LP) – qu'elle écarte expressément cette opposition. Lorsqu'il requiert la continuation de la poursuite, le créancier doit établir, par la production de la décision judiciaire écartant l'opposition, accompagnée si nécessaire d'une attestation d'entrée en force, que l'opposition a été définitivement écartée (WINKLER, in KUKO SchKG, 2ème éd., 2014, n. 8 et 8a ad art. 88 LP).</w:t>
      </w:r>
    </w:p>
    <w:p>
      <w:r>
        <w:t>Tel n'est pas le cas si ni la citation à l'audience de mainlevée ni le jugement de mainlevée n'ont été valablement notifiés au débiteur poursuivi; dans une telle hypothèse, en effet, la décision écartant l'opposition est nulle, ce qu'aussi bien l'Office que l'autorité de surveillance – dans le cadre d'une procédure de plainte – doivent constater (ATF 130 III 396 consid. 1.2.2, JdT 2005 II 87; 102 III 133 consid. 3; arrêt du Tribunal fédéral 5A_738/2010 du 28 janvier 2011 consid. 3).</w:t>
      </w:r>
    </w:p>
    <w:p>
      <w:r>
        <w:rPr>
          <w:b/>
        </w:rPr>
        <w:t>E. 2.4</w:t>
      </w:r>
    </w:p>
    <w:p>
      <w:r>
        <w:t>En l'espèce, il ressort des déclarations des parties et des pièces produites que le plaignant a entretenu une certaine confusion sur son lieu de domicile, tant vis-à- vis de l'AFC que de l'Office (celui-ci se fiant aux indications fournies par le créancier poursuivant). En effet, c'est le plaignant qui a pris l'initiative de communiquer avec l'AFC en faisant référence à l'adresse du 22, chemin 2______, où il admet avoir résidé durablement, à tout le moins de 2014 à 2016 (ce qu'il n'a pas annoncé à l'OCPM), où il loue un appartement depuis plus de six ans et où il continue à recevoir du courrier, son nom figurant sur la boîte aux lettres. N'ayant été avisée d'aucun changement d'adresse et aucun de ses courriers ne lui ayant été retournés par la Poste, l'AFC a continué à traiter cette adresse comme une adresse de notification valable, raison pour laquelle les commandements de payer, poursuites nos 1______ et 5______, ont été expédiés – puis notifiés – au plaignant au 22, chemin 2______. A noter que le plaignant ne démontre pas avoir informé l'AFC d'un quelconque changement d'adresse avant la fin de l'année 2020 (l'AFC et l'Office ont affirmé ne pas avoir reçu les courriers du 6 mars 2020 évoqués par le plaignant et celui-ci n'a produit aucun justificatif attestant de leur envoi), ce qui explique pourquoi l'AFC a agi en mainlevée d'opposition en assignant le plaignant au 22, chemin 2______.</w:t>
      </w:r>
    </w:p>
    <w:p>
      <w:r>
        <w:t>Cela étant, il résulte également des pièces produites que le plaignant n'a pas eu connaissance des citations à comparaître aux audiences de mainlevée des 11 mai et 28 septembre 2020, les plis contenant les convocations assorties des requêtes de mainlevée formées par l'AFC ayant été retournés au Tribunal sans avoir été réclamés. Conformément à la jurisprudence rappelée ci-avant (consid. 2.2 et 2.3), il ne peut être opposé au plaignant qu'il devait s'attendre à recevoir des communications de la part du Tribunal à la suite des oppositions qu'il avait formées, qui plus est plusieurs mois auparavant, puisque la procédure de mainlevée d'opposition constitue une nouvelle procédure. La fiction de</w:t>
      </w:r>
    </w:p>
    <w:p>
      <w:r>
        <w:t>- 9/10 -</w:t>
      </w:r>
    </w:p>
    <w:p>
      <w:r>
        <w:t>A/4249/2020-CS notification au sens de l'art. 138 al. 3 let. a CPC n'était dès lors pas applicable. Il en va de même des plis contenant les jugements de mainlevée, lesquels ont également été retournés au Tribunal sans avoir été réclamés.</w:t>
      </w:r>
    </w:p>
    <w:p>
      <w:r>
        <w:t>En conséquence, force est de retenir que le plaignant, qui n'a pas retiré les plis recommandés contenant les citations à comparaître et les jugements JTPI/5332/2020 et JTPI/11920/2020, n'a pas eu connaissance de l'ouverture des procédures de mainlevée. Il suit de là que les jugements de mainlevée susvisés sont frappés de nullité et ne peuvent servir de fondement à l'AFC pour obtenir la continuation des poursuites concernées.</w:t>
      </w:r>
    </w:p>
    <w:p>
      <w:r>
        <w:t>Au vu des considérations qui précèdent, la Chambre de surveillance constatera que les réquisitions de continuer les poursuites des 12 juin et 19 octobre 2020 sont nulles, de même que tous les actes de poursuite et mesures conservatoires diligentés par l'Office en exécution de ces réquisitions.</w:t>
      </w:r>
    </w:p>
    <w:p>
      <w:r>
        <w:rPr>
          <w:b/>
        </w:rPr>
        <w:t>E. 3</w:t>
      </w:r>
    </w:p>
    <w:p>
      <w:r>
        <w:t>La procédure cantonale de plainte est gratuite (art. 20a al. 2 ch. 5 LP; art. 61 al. 2 let. a OELP).</w:t>
      </w:r>
    </w:p>
    <w:p>
      <w:r>
        <w:t>L'allocation de dépens est par ailleurs exclue en vertu de l'art. 62 al. 2 OELP, de sorte que les conclusions du plaignant tendant à cette fin sont irrecevables (arrêt du Tribunal fédéral 7B.118/2003 du 21 juillet 2003 consid. 2.7; 7B.82/2004 du 18 juin 2004 consid. 3.2; 5A_548/2008 du 7 octobre 2008 consid. 3.2).</w:t>
      </w:r>
    </w:p>
    <w:p>
      <w:r>
        <w:t>* * * * *</w:t>
      </w:r>
    </w:p>
    <w:p>
      <w:r>
        <w:t>- 10/10 -</w:t>
      </w:r>
    </w:p>
    <w:p>
      <w:r>
        <w:t>A/4249/2020-CS PAR CES MOTIFS, La Chambre de surveillance : A la forme : Déclare recevable la plainte formée le 15 décembre 2020 par A______ dans le cadre des poursuites nos 1______ et 5______. Au fond : Constate la nullité de la réquisition de continuer la poursuite n° 1______, formée le 12 juin 2020, et de tous les actes de poursuite et mesures conservatoires diligentés par l'Office cantonal des poursuites sur la base de cette réquisition, notamment l'avis de saisie du 26 juin 2020. Constate la nullité de la réquisition de continuer la poursuite n° 5______, formée le 19 octobre 2020, et de tous les actes de poursuite et mesures conservatoires diligentés par l'Office cantonal des poursuites sur la base de cette réquisition, notamment l'avis d'une participation à la saisie du 26 octobre 2020. Déboute les parties de toutes autres conclusions. Siégeant : Madame Nathalie RAPP, présidente; Monsieur Luca MINOTTI et Monsieur Anthony HUGUENIN, juges assesseurs; Madame Christel HENZELIN, greffière.</w:t>
      </w:r>
    </w:p>
    <w:p>
      <w:r>
        <w:t>La présidente :</w:t>
      </w:r>
    </w:p>
    <w:p>
      <w:r>
        <w:t>Nathalie RAPP</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