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DCSO/224/2014 vom 18. September 2014</w:t>
      </w:r>
    </w:p>
    <w:p>
      <w:r>
        <w:t>GE Cour de justice, 2014-09-18, FR</w:t>
      </w:r>
    </w:p>
    <w:p>
      <w:r>
        <w:rPr>
          <w:b/>
        </w:rPr>
        <w:t xml:space="preserve">Quelle: </w:t>
      </w:r>
      <w:r>
        <w:t>https://mcp.opencaselaw.ch/entscheid/ge_gerichte_DCSO_224_2014</w:t>
      </w:r>
    </w:p>
    <w:p>
      <w:r>
        <w:t>FR: GE_GERICHTE DCSO/224/2014 du 18 septembre 2014</w:t>
      </w:r>
    </w:p>
    <w:p>
      <w:r>
        <w:t>IT: GE_GERICHTE DCSO/224/2014 del 18 settembre 2014</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Le délai pour porter plainte est de dix jours à compter de celui où le plaignant a eu connaissance de la mesure attaquée (art. 17 al. 2 LP), ce délai étant rappelé au pied des pages 2 et suivantes du procès-verbal de saisie.</w:t>
      </w:r>
    </w:p>
    <w:p>
      <w:r>
        <w:t>En l'espèce, le procès-verbal de saisie établi dans la série n° 13 xxxx60 Y a été adressé au plaignant le 3 février 2014. Il faut admettre que ce dernier, qui ne donne aucune indication précise à cet égard, en a nécessairement pris connaissance plus de dix jours avant le dépôt de sa plainte, intervenu presque quatre mois après l'envoi du procès-verbal de saisie.</w:t>
      </w:r>
    </w:p>
    <w:p>
      <w:r>
        <w:t>Tardive, la plainte sera donc déclarée irrecevable. 2. 2.1 A supposer qu'elle eût été recevable, la plainte aurait en tout état dû être rejetée.</w:t>
      </w:r>
    </w:p>
    <w:p>
      <w:r>
        <w:t>2.2 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 Il en va ainsi notamment des dépenses indispensables à l'exercice d'une profession (NI-2014 ch. II 4), parmi lesquelles les frais de repas supplémentaires encourus par le débiteur si celui-ci est dans l'incapacité de manger à son domicile (OCHSNER, in CR-LP, n° 126 ad art. 93 LP), ou les dépenses supérieures à la moyenne d'entretien des vêtements ou de blanchissage, par exemple pour le personnel de service, les voyageurs de commerce, etc. (NI-2014 ch. II 4 c).</w:t>
      </w:r>
    </w:p>
    <w:p>
      <w:r>
        <w:t>- 4/5 -</w:t>
      </w:r>
    </w:p>
    <w:p>
      <w:r>
        <w:t>A/1620/2014-CS</w:t>
      </w:r>
    </w:p>
    <w:p>
      <w:r>
        <w:t>2.3 Le plaignant considère en premier lieu que l'Office aurait dû tenir compte des dépenses supplémentaires induites par le fait qu'il prend ses repas de midi à l'extérieur. Pour que de telles dépenses puissent être prises en compte dans le calcul du minimum vital, cependant, il ne suffit pas qu'elles soient effectivement encourues : il faut encore qu'elles apparaissent indispensables à l'exercice de la profession du débiteur, ce qui suppose que celui-ci, pour une raison ou une autre, n'ait pas la possibilité de prendre ses repas à son domicile. En l'espèce, l'Office a constaté que le plaignant travaillait à mi-temps et en a déduit à juste titre qu'il pouvait rentrer chez lui pour prendre ses repas de midi. Ce raisonnement n'est pas critiqué par le plaignant, qui se borne à soutenir que, dans les faits, il déjeune au restaurant. La dépense supplémentaire qui en découle par rapport à un repas pris à son domicile n'a toutefois pas à être prise en compte dans le calcul du minimum vital puisqu'elle découle d'un choix personnel, et non d'un impératif lié à l'exercice de sa profession. Le grief est donc mal fondé.</w:t>
      </w:r>
    </w:p>
    <w:p>
      <w:r>
        <w:t>Il en va de même de celui relatif aux frais de blanchissage. Dans la mesure en effet où les frais d'achat et d'entretien des vêtements sont déjà pris en compte dans la base mensuelle d'entretien, ce n'est que si l'exercice d'une profession impose des dépenses supérieures à la normale qu'un supplément peut être admis à ce titre. C'est notamment le cas pour le personnel de service ou les voyageurs de commerce dès lors qu'une tenue propre et soignée constitue dans ces métiers un impératif professionnel et que les vêtements usuellement portés dans ce genre d'activité doivent être nettoyés en blanchisserie. Un tel supplément ne peut en revanche être admis en relation avec des activités comme celle exercée par le plaignant, qui sont certes plus salissantes que la moyenne mais n'imposent pas le port de vêtements particuliers et n'impliquent pas de frais d'entretien particulièrement élevés.</w:t>
      </w:r>
    </w:p>
    <w:p>
      <w:r>
        <w:rPr>
          <w:b/>
        </w:rPr>
        <w:t>E. 3</w:t>
      </w:r>
    </w:p>
    <w:p>
      <w:r>
        <w:t>La procédure est gratuite (art. 20a al.2 ch. 5 LP et art. 61 al. 2 lit. a OELP) et il ne peut être alloué aucun dépens. * * * * *</w:t>
      </w:r>
    </w:p>
    <w:p>
      <w:r>
        <w:t>- 5/5 -</w:t>
      </w:r>
    </w:p>
    <w:p>
      <w:r>
        <w:t>A/1620/2014-CS PAR CES MOTIFS, La Chambre de surveillance : A la forme : Déclare irrecevable la plainte formée le 2 juin 2014 par M. A______ contre le procès- verbal de saisie, série n° 13 xxxx60 Y, daté du 28 novembre 2013. Siégeant : Monsieur Patrick CHENAUX, président; Madame Valérie CARERA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