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DCSO/220/2025 vom 8. Mai 2025</w:t>
      </w:r>
    </w:p>
    <w:p>
      <w:r>
        <w:t>GE Cour de justice, 2025-05-08, FR</w:t>
      </w:r>
    </w:p>
    <w:p>
      <w:r>
        <w:rPr>
          <w:b/>
        </w:rPr>
        <w:t xml:space="preserve">Quelle: </w:t>
      </w:r>
      <w:r>
        <w:t>https://mcp.opencaselaw.ch/entscheid/ge_gerichte_DCSO_220_2025</w:t>
      </w:r>
    </w:p>
    <w:p>
      <w:r>
        <w:t>FR: GE_GERICHTE DCSO/220/2025 du 8 mai 2025</w:t>
      </w:r>
    </w:p>
    <w:p>
      <w:r>
        <w:t>IT: GE_GERICHTE DCSO/220/2025 del 8 maggio 2025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l'occurrence a été déposée en temps utile contre une mesure de l'Office – un procès-verbal de séquestre – pouvant – en principe et sous réserve des griefs invoqués – être contestée par cette voie. Elle respecte par ailleurs la forme écrite et comporte une motivation ainsi que des conclusions. Elle est donc formellement recevable.</w:t>
      </w:r>
    </w:p>
    <w:p>
      <w:r>
        <w:rPr>
          <w:b/>
        </w:rPr>
        <w:t>E. 2</w:t>
      </w:r>
    </w:p>
    <w:p>
      <w:r>
        <w:t>2.1.1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w:t>
      </w:r>
    </w:p>
    <w:p>
      <w:r>
        <w:t>2.1.2 Un intérêt n’est digne de protection que s’il est direct, c’est-à-dire directement lié à l’objet de la contestation. Pour que cette relation existe, il faut qu’il y ait effectivement un préjudice porté de manière immédiate à la situation personnelle du plaignant. Cet intérêt doit donc être actuel et réel. Un intérêt théorique à la solution d’une question ne suffit pas, pas plus qu’un intérêt général.</w:t>
      </w:r>
    </w:p>
    <w:p>
      <w:r>
        <w:t>- 4/6 -</w:t>
      </w:r>
    </w:p>
    <w:p>
      <w:r>
        <w:t>A/267/2025-CS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(arrêt du Tribunal fédéral 7B.19/2006 du 25 avril 2006 consid. 3.1 ; ATF 120 III 42 consid. 3 ; GILLIERON, Commentaire, ad art. 17 nos 140ss, 155 et 156 et les arrêts cités).</w:t>
      </w:r>
    </w:p>
    <w:p>
      <w:r>
        <w:t>L'existence d'un intérêt actuel s'apprécie non seulement au moment du dépôt du recours, mais aussi lors du prononcé de la décision sur recours (ATF 137 I 296 consid. 4.2 ; 136 II 101 consid. 1.1) ; si l'intérêt s'éteint pendant la procédure, le recours devient sans objet (ATF 142 I 135 consid. 1.3.1 p. 143).</w:t>
      </w:r>
    </w:p>
    <w:p>
      <w:r>
        <w:t>2.1.3 Aux termes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poursuivi par l'art. 277 LP est d'alléger la situation du débiteur coopérant (ATF 116 III 35 consid. 3b). Celui-ci retrouve la libre disposition de ses biens dans la mesure où il fournit des sûretés équivalentes aux objets séquestrés. Il peut disposer des biens séquestrés à sa guise. En cas de séquestre d'un immeuble, l'application de l'art. 277 LP conduit à radier la restriction du pouvoir de disposer annotée au registre foncier (ATF 116 III 35 consid. 3c; arrêt du Tribunal fédéral 5A_884/2023 du 5 mars 2024 consid. 5.1.1).</w:t>
      </w:r>
    </w:p>
    <w:p>
      <w:r>
        <w:t>Comme le séquestre ne peut avoir pour effet le blocage d'avoirs pour un montant notablement supérieur à celui nécessaire à satisfaire le créancier séquestrant en capital, intérêts et frais, sous peine d'abus de droit (cf. ATF 120 III 42 consid. 5a p. 47), les sûretés ne sauraient être fixées à un montant plus élevé que celui de la créance et de ses accessoires, alors même que les actifs séquestrés seraient supérieurs à cette dernière (ATF 114 III 38 consid. 2 p. 39/40; ATF 116 III 35 consid. 5 p. 41); admettre le contraire reviendrait à améliorer en fait la position du créancier séquestrant en lui permettant de bénéficier d'une garantie d'un montant supérieur à sa créance, augmentée des frais et intérêts, ce qui ne correspond pas au but de l'art. 277 LP.</w:t>
      </w:r>
    </w:p>
    <w:p>
      <w:r>
        <w:rPr>
          <w:b/>
        </w:rPr>
        <w:t>E. 2.2</w:t>
      </w:r>
    </w:p>
    <w:p>
      <w:r>
        <w:t>En l'espèce, la plaignante ne conteste pas le montant des sûretés et ne soutient pas qu'elles seraient supérieures au montant de la créance invoquée, augmentée des frais et intérêts, étant précisé qu'elle n'a pas formé plainte contre la décision fixant le montant des sûretés. Il est par ailleurs constant qu'elle a récupéré la libre disposition des immeubles séquestrés et du compte bancaire, à la suite du versement des sûretés, ce qui résulte de la décision du 29 janvier 2025. Aussi, à supposer que la valeur des immeubles séquestrés serait supérieure à l'assiette du séquestre, la plaignante n'a plus d'intérêt concret à se prévaloir d'une violation de</w:t>
      </w:r>
    </w:p>
    <w:p>
      <w:r>
        <w:t>- 5/6 -</w:t>
      </w:r>
    </w:p>
    <w:p>
      <w:r>
        <w:t>A/267/2025-CS l'art. 97 al. 2 LP, dès lors que les sûretés, qui ont remplacé les immeubles, ne sont pas excessives.</w:t>
      </w:r>
    </w:p>
    <w:p>
      <w:r>
        <w:t>Certes, le versement des sûretés ne conduit pas à la levée ou à la caducité du séquestre en tant que tel et le débiteur séquestré conserve ainsi un intérêt notamment à former opposition au séquestre, dès lors que s'il obtient gain de cause, les sûretés seraient immédiatement libérées (cf. arrêt du Tribunal fédéral 5P.472/2004 du 23 février 2005, consid. 2). En revanche, en fournissant des sûretés, la plaignante n'a plus d'intérêt à contester le caractère prétendument excessif du séquestre sur les immeubles lui appartenant et le compte bancaire, dont elle peut désormais librement disposer (cf. JdT 1919 III 126 ss). Il sera en effet observé qu'à la suite du versement des sûretés, l'Office a requis du registre foncier la radiation des annotations sur les immeubles de D______ et de E______.</w:t>
      </w:r>
    </w:p>
    <w:p>
      <w:r>
        <w:t>Force est ainsi de constater que la plaignante a perdu l'intérêt à porter plainte contre le procès-verbal de séquestre suite à la décision de l'Office d'accepter les sûretés fournies et de lever les mesures frappant les actifs. La plainte est ainsi devenue sans objet.</w:t>
      </w:r>
    </w:p>
    <w:p>
      <w:r>
        <w:rPr>
          <w:b/>
        </w:rPr>
        <w:t>E. 3</w:t>
      </w:r>
    </w:p>
    <w:p>
      <w:r>
        <w:t>La procédure de plainte est gratuite (art. 20a al. 2 ch. 5 LP; art. 61 al. 2 let. a OELP) et ne donne pas lieu à l'allocation de dépens (art. 62 al. 2 OELP). * * * * *</w:t>
      </w:r>
    </w:p>
    <w:p>
      <w:r>
        <w:t>- 6/6 -</w:t>
      </w:r>
    </w:p>
    <w:p>
      <w:r>
        <w:t>A/267/2025-CS PAR CES MOTIFS, La Chambre de surveillance :</w:t>
      </w:r>
    </w:p>
    <w:p>
      <w:r>
        <w:t>Déclare recevable la plainte formée le 27 janvier 2025 par A______ contre le procès- verbal de séquestre, n° 6______, établi par l'Office cantonal des poursuites. Constate que la plainte est devenue sans objet. Siégeant : Madame Verena PEDRAZZINI RIZZI, présidente; Monsieur Alexandre BÖHLER et Monsieur Anthony HUGUENIN, juges assesseurs ;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