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DCSO/216/2024 vom 23. Mai 2024</w:t>
      </w:r>
    </w:p>
    <w:p>
      <w:r>
        <w:t>GE Cour de justice, 2024-05-23, FR</w:t>
      </w:r>
    </w:p>
    <w:p>
      <w:r>
        <w:rPr>
          <w:b/>
        </w:rPr>
        <w:t xml:space="preserve">Quelle: </w:t>
      </w:r>
      <w:r>
        <w:t>https://mcp.opencaselaw.ch/entscheid/ge_gerichte_DCSO_216_2024</w:t>
      </w:r>
    </w:p>
    <w:p>
      <w:r>
        <w:t>FR: GE_GERICHTE DCSO/216/2024 du 23 mai 2024</w:t>
      </w:r>
    </w:p>
    <w:p>
      <w:r>
        <w:t>IT: GE_GERICHTE DCSO/216/2024 del 23 maggio 2024</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rPr>
          <w:b/>
        </w:rPr>
        <w:t>E. 1.2</w:t>
      </w:r>
    </w:p>
    <w:p>
      <w:r>
        <w:t>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Un simple avis de l'autorité de poursuite ne constitue pas une décision ou mesure susceptible de plainte (DCSO/134/2022 du 7 avril 2022 consid. 1.1; DCSO/453/2008 du 16 octobre 2008 consid. 1; GILLIERON, Commentaire de la loi fédérale sur la poursuite pour dettes et la faillite, 1999, n. 12 ad art. 17 LP). La communication de la réquisition de vente n’est donc attaquable que si l’Office des poursuites qui l’a rendue communique en même temps d’autres dispositions concrètes de la procédure, telles que la nature ou le lieu et le moment de la réalisation, ou invite le débiteur à accomplir un acte (FREY/STAIBLE, Commentaire bâlois, LP, 2021, n. 9 ad art. 120 LP).</w:t>
      </w:r>
    </w:p>
    <w:p>
      <w:r>
        <w:rPr>
          <w:b/>
        </w:rPr>
        <w:t>E. 1.3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2</w:t>
      </w:r>
    </w:p>
    <w:p>
      <w:r>
        <w:t>En l'espèce, la plainte tend à l'annulation de l'avis de réception de la réquisition de vente du 20 février 2024 dans le cadre de la poursuite n° 1______. Dans la mesure où cet acte se limite à informer la plaignante du dépôt d'une réquisition de vente par la créancière poursuivante sans qu'aucune décision n'ait été prise s'agissant de l'avancement de la procédure, il ne constitue pas une décision de l'Office au sens de l'art. 17 LP. Il ne peut, partant, faire l'objet d'une plainte.</w:t>
      </w:r>
    </w:p>
    <w:p>
      <w:r>
        <w:t>Par ailleurs, en tant qu'elle contient des critiques à l'égard du procès-verbal de saisie du 8 décembre 2023 reçu par la plaignante le 12 décembre 2023, la plainte a été déposée après écoulement du délai de dix jours fixé par la loi, commençant à courir à compter de cette communication et prolongé au 4 janvier 2024 (art. 63 al. 2 LP). Aucun cas de nullité n'apparaît enfin entacher cette mesure, de sorte qu'il n'y a pas lieu d'entrer en matière sur ce point.</w:t>
      </w:r>
    </w:p>
    <w:p>
      <w:r>
        <w:t>La plainte sera en conséquence déclarée irrecevable.</w:t>
      </w:r>
    </w:p>
    <w:p>
      <w:r>
        <w:t>- 4/5 -</w:t>
      </w:r>
    </w:p>
    <w:p>
      <w:r>
        <w:t>A/766/2024-CS</w:t>
      </w:r>
    </w:p>
    <w:p>
      <w:r>
        <w:rPr>
          <w:b/>
        </w:rPr>
        <w:t>E. 3</w:t>
      </w:r>
    </w:p>
    <w:p>
      <w:r>
        <w:t>Il sera enfin relevé ici que même à supposer que la plainte la plainte eût été recevable, elle aurait alors été rejetée, dans la mesure où les clauses contractuelles du contrat de prêt restreignant la cession ne sont pas de nature à mettre en échec la réalisation forcée de sa créance. Ses critiques dirigées contre le procès-verbal de saisie ne sont, de même, pas fondées, puisque ce dernier contient, à juste titre, la description, en page 2, de la créance d'un montant de 9'365'098 fr. envers B______ SA découlant du prêt signé le 12 avril 2021, puis, en page 3, de l'estimation de la valeur de la créance saisie effectuée par l'Office en application de l'art. 97 LP.</w:t>
      </w:r>
    </w:p>
    <w:p>
      <w:r>
        <w:rPr>
          <w:b/>
        </w:rPr>
        <w:t>E. 4</w:t>
      </w:r>
    </w:p>
    <w:p>
      <w:r>
        <w:t>La procédure de plainte est en principe gratuite (art. 20a al. 2 ch. 5 LP et art. 61 al. 2 let. a OELP) et il ne peut être alloué aucun dépens dans cette procédure (62 al. 2 OELP). * * * * *</w:t>
      </w:r>
    </w:p>
    <w:p>
      <w:r>
        <w:t>- 5/5 -</w:t>
      </w:r>
    </w:p>
    <w:p>
      <w:r>
        <w:t>A/766/2024-CS PAR CES MOTIFS, La Chambre de surveillance : A la forme : Déclare irrecevable la plainte formée le 4 mars 2024 par A______ SA contre l'avis de réception de la réquisition de vente du 20 février 2024 dans la poursuite n° 1______. Siégeant : Madame Ursula ZEHETBAUER GHAVAMI, présidente; Monsieur Anthony HUGUENIN et Monsieur Luca MINOTTI,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