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DCSO/209/2011 vom 7. Juli 2011</w:t>
      </w:r>
    </w:p>
    <w:p>
      <w:r>
        <w:t>GE Cour de justice, 2011-07-07, FR</w:t>
      </w:r>
    </w:p>
    <w:p>
      <w:r>
        <w:rPr>
          <w:b/>
        </w:rPr>
        <w:t xml:space="preserve">Quelle: </w:t>
      </w:r>
      <w:r>
        <w:t>https://mcp.opencaselaw.ch/entscheid/ge_gerichte_DCSO_209_2011</w:t>
      </w:r>
    </w:p>
    <w:p>
      <w:r>
        <w:t>FR: GE_GERICHTE DCSO/209/2011 du 7 juillet 2011</w:t>
      </w:r>
    </w:p>
    <w:p>
      <w:r>
        <w:t>IT: GE_GERICHTE DCSO/209/2011 del 7 luglio 2011</w:t>
      </w:r>
    </w:p>
    <w:p>
      <w:pPr>
        <w:pStyle w:val="Heading2"/>
      </w:pPr>
      <w:r>
        <w:t>Regeste</w:t>
      </w:r>
    </w:p>
    <w:p>
      <w:r>
        <w:t>Résumé: Le débiteur poursuivi a des liens les plus étroits avec Genève. Au moment de la notification du commandement de payer, il existait un for à Genève. Plainte admise.</w:t>
      </w:r>
    </w:p>
    <w:p>
      <w:pPr>
        <w:pStyle w:val="Heading2"/>
      </w:pPr>
      <w:r>
        <w:t>Erwägungen</w:t>
      </w:r>
    </w:p>
    <w:p>
      <w:r>
        <w:rPr>
          <w:b/>
        </w:rPr>
        <w:t>E. 1.1</w:t>
      </w:r>
    </w:p>
    <w:p>
      <w:r>
        <w:t>L'Autorité de surveillance est compétente pour statuer sur les plaintes formées en application de la LP comme en l’espèce des refus de l’Office de donner suite à des réquisitions de poursuite pour défaut de for (art. 13 LP ; art. 125 et 126 LOJ ; art. 6 al. 1 et 3 et 7 al. 1 LaLP) contre des mesures non attaquables par la voie judiciaire (art. 17 al. 1 LP).</w:t>
      </w:r>
    </w:p>
    <w:p>
      <w:r>
        <w:t>En tant que poursuivantes, les plaignantes ont qualité pour contester de tels refus. Elles ont agi en temps utile (art. 17 al. 2 LP), en respectant les exigences de forme et de contenu prescrites par la loi (art. 9 al. 1 et 2 LaLP).</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w:t>
      </w:r>
    </w:p>
    <w:p>
      <w:r>
        <w:rPr>
          <w:b/>
        </w:rPr>
        <w:t>E. 2.2</w:t>
      </w:r>
    </w:p>
    <w:p>
      <w:r>
        <w:t>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Voies d’exécution, § 3 n° 91 ; Pierre-Robert Gilliéron, Commentaire, Remarques introductives ad art. 46-55 n° 30 ; Lettre de la Chambre des poursuites et faillites du Tribunal fédéral du 13 février 1984 concernant l’élection de domicile par le poursuivi et la forme de cette élection, in SJ 1984 p. 246).</w:t>
      </w:r>
    </w:p>
    <w:p>
      <w:r>
        <w:rPr>
          <w:b/>
        </w:rPr>
        <w:t>E. 2.3</w:t>
      </w:r>
    </w:p>
    <w:p>
      <w:r>
        <w:t>Le for ordinaire de la poursuite est au domicile du débiteur (art. 46 al. 1 LP).</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seulement intime, mais se manifester de façon objective et reconnaissable pour les tiers (ATF 7B.241/2003 du 8 janvier 2004 consid. 4 ; ATF 125 III 100 consid. 3, JdT 1999 II 177 ; ATF 120 III 7 consid. 2a, JdT 1996 II 73 ; ATF 119 II 64</w:t>
      </w:r>
    </w:p>
    <w:p>
      <w:r>
        <w:t>- 8/10 -</w:t>
      </w:r>
    </w:p>
    <w:p>
      <w:r>
        <w:t>A/3441/2010-AS</w:t>
      </w:r>
    </w:p>
    <w:p>
      <w:r>
        <w:t>consid. 2b, JdT 1996 I 221). 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w:t>
      </w:r>
    </w:p>
    <w:p>
      <w:r>
        <w:rPr>
          <w:b/>
        </w:rPr>
        <w:t>E. 2.4</w:t>
      </w:r>
    </w:p>
    <w:p>
      <w:r>
        <w:t>C’est au poursuivant qu’incombe le devoir d’indiquer à l’Office notamment le domicile du débiteur, tant au stade de la réquisition de poursuite (art. 67 al. 1 ch. 2 LP ; Pierre-Robert Gilliéron, Commentaire, ad art. 67 n° 17 et 40 ; Sabine Kofmel Ehrenzeller, in SchKG I, ad art. 67 n° 31) qu’à celui de la réquisition de continuer la poursuite (art. 88 al. 1 LP). A réception de ces réquisitions, l’Office reporte cette indication respectivement sur le commandement de payer et l’avis de saisie (art. 69 al. 1 ch. 1 LP). Il n’a pas à la vérifier, mais s’il la sait erronée ou fictive ou s’il est manifeste qu’elle l’est ou encore si elle est imprécise ou lacunaire, il doit inviter le poursuivant à la rectifier ou la compléter (Pierre-Robert Gilliéron, Commentaire, ad art. 69 n° 27 ss., et ad art. 89 n° 25 ss). A propos d’une mention telle que l’adresse du poursuivi, l’Office peut même la corriger ou la compléter de lui-même s’il est certain tant de l’erreur ou de la lacune ou de l’imprécision que de la correction ou du complément à apporter et qu’aucun doute ou aucune ambiguïté n’en résulte sur la personne du poursuivi (Karl Wüthrich / Peter Schoch, in SchKG I, ad art. 69 n° 17).</w:t>
      </w:r>
    </w:p>
    <w:p>
      <w:r>
        <w:rPr>
          <w:b/>
        </w:rPr>
        <w:t>E. 3</w:t>
      </w:r>
    </w:p>
    <w:p>
      <w:r>
        <w:t>La plaignante et les enquêtes ont mis en évidence des éléments qui conduisent désormais à considérer que le poursuivi n'a pas déménagé de manière effective à C______ (X______/France) mais est resté domicilié à Genève au 3, rue V______. Mme L______ a admis être à nouveau en relation de couple avec M. W______. Ce point est corroboré par le courrier de son conseil au CREDIT AGRICOLE du</w:t>
      </w:r>
    </w:p>
    <w:p>
      <w:r>
        <w:rPr>
          <w:b/>
        </w:rPr>
        <w:t>E. 6</w:t>
      </w:r>
    </w:p>
    <w:p>
      <w:r>
        <w:t>mai 2008 selon lequel Mme L______ vit en concubinage avec le débiteur poursuivi et leur fille commune prénommée E______. Certes, Mme L______ affirme vivre en Suisse alors que M. W______ vivrait en France. Cette déclaration n'est cependant pas déterminante au regard des autres éléments mis en évidence dans le dossier. Mme L______ a expliqué qu'elle vivait au 3, rue V______. Elle a aussi indiqué qu'elle avait conservé une chambre dans l'immeuble qu'elle possède au 6, rue T______ où elle se rend lorsque "lorsqu'elle se dispute avec M. W______". L'Autorité de céans voit mal ainsi quelle nécessité Mme L______ aurait de se rendre à la rue de T______ lorsqu'elle se dispute avec le débiteur poursuivi si ce dernier n'était pas réellement domicilié au 3, rue V______ à Genève.</w:t>
      </w:r>
    </w:p>
    <w:p>
      <w:r>
        <w:t>- 9/10 -</w:t>
      </w:r>
    </w:p>
    <w:p>
      <w:r>
        <w:t>A/3441/2010-AS</w:t>
      </w:r>
    </w:p>
    <w:p>
      <w:r>
        <w:t>Mme L______ a affirmé passer toutes ses fins de semaine avec le poursuivi, la plupart du temps au domaine du B______ à C______ alors que le gardien a affirmé pour sa part qu'elle n'y venait pas régulièrement et que M. W______ y venait avec son fils. Par ailleurs, les constats de C______ &amp; S______ SA, confirmés en audience à l'Autorité de céans, établissent que M. W______ est bien domicilié au 3, rue V______. Ces constats ne sont d'ailleurs pas incompatible avec le fait que le poursuivi passerait ses week-ends dans son domaine du B______. Les déclarations du gardien du domaine du B______ tendent aussi à démontrer que M. W______ est resté domicilié à Genève même s'il s'est efforcé d'atténuer les effets desdites déclarations. M.R______ a d'abord affirmé que M. W______ ne dormait pas tous les soirs au domaine et ne faisait pas quotidiennement les trajets Genève-C______ vu la distance à parcourir, de l'ordre de 100 km, nécessitant une heure et demie de voiture lorsqu'il n'y a pas de bouchons. Il a aussi affirmé que M. W______ passait ses week-ends au domaine en expliquant ensuite qu'il arrivait irrégulièrement le jeudi soir pour repartir le mercredi suivant. Enfin, c'est sur un téléphone portable suisse que le gardien du domaine téléphone au débiteur poursuivi lorsqu'il a besoin de lui parler. S'agissant des activités professionnelles de M. W______, les déclarations de ses proches sont pour le moins totalement contradictoires, sa compagne affirmant qu'il est agriculteur et le gardien de son domaine qu'il est agent immobilier. Au vu de l'ensemble de ses nouveaux éléments, il y a lieu de reconsidérer la décision de l'Autorité de céans qui avait retenu en décembre 2006 que M. W______ avait constitué au domaine du B______ à C______ dans l'X______ son centre effectif d’activités de sa société agricole et, partant, centre d’intérêts personnels, professionnels et sociaux. Compte tenu de l’ensemble de ces circonstances, il faut désormais retenir que le débiteur poursuivi a ses liens les plus étroits avec la Suisse, plus particulièrement avec Genève - au 3, rue V______ - au vu de l’importance de ses liens personnels avec sa compagne et sa fille E______, professionnels et sociales qu’il a dans cette ville. Le fait que le domaine du B______ produise des brochets et des agneaux ne suffit pas à transformer ce lieu - dont la maison est décrite comme rustique - en centre de d'existence du poursuivi et ce alors même qu'il a annoncé au Consulat général de Suisse compétent ledit lieu comme son nouveau lieu de résidence. Force est donc d’admettre qu’au moment de la notification du commandement de payer, il existait un for de poursuite à Genève. C’est donc à tort que l’Office a délivré un acte de non-lieu de notification de poursuite dans le cadre de la poursuite considérée. La plainte, bien fondée, doit ainsi être admise.</w:t>
      </w:r>
    </w:p>
    <w:p>
      <w:r>
        <w:t>- 10/10 -</w:t>
      </w:r>
    </w:p>
    <w:p>
      <w:r>
        <w:t>A/3441/2010-AS</w:t>
      </w:r>
    </w:p>
    <w:p>
      <w:r>
        <w:t>PAR CES MOTIFS, L'Autorité de surveillance : A la forme : Déclare recevable la plainte formée le 8 octobre 2010 par Mme H______ contre le procès-verbal de non lieu de notification. Au fond : 1. L’admet. 2. Annule le procès-verbal de non-lieu de notification du commandement de payer de la poursuite n° 10 xxxx67 S. 3. Invite l’Office des poursuites à donner suite à la réquisition de poursuite n° 10 xxxx67 S déposée par Mme H______ le 29 juin 2010. 4. Déboute les parties de toutes autres ou contraires conclusions.</w:t>
      </w:r>
    </w:p>
    <w:p>
      <w:r>
        <w:t>Siégeant : Daniel DEVAUD, président ; Philipp GANZONI et Philippe VEILLARD, juges assesseurs ; Paulette DORMAN, greffière.</w:t>
      </w:r>
    </w:p>
    <w:p>
      <w:r>
        <w:t>Daniel DEVAUD</w:t>
      </w:r>
    </w:p>
    <w:p>
      <w:r>
        <w:t>Paulette DORMAN Président</w:t>
      </w:r>
    </w:p>
    <w:p>
      <w:r>
        <w:t>Greffière</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