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DCSO/208/2016 vom 30. Juni 2016</w:t>
      </w:r>
    </w:p>
    <w:p>
      <w:r>
        <w:t>GE Cour de justice, 2016-06-30, FR</w:t>
      </w:r>
    </w:p>
    <w:p>
      <w:r>
        <w:rPr>
          <w:b/>
        </w:rPr>
        <w:t xml:space="preserve">Quelle: </w:t>
      </w:r>
      <w:r>
        <w:t>https://mcp.opencaselaw.ch/entscheid/ge_gerichte_DCSO_208_2016</w:t>
      </w:r>
    </w:p>
    <w:p>
      <w:r>
        <w:t>FR: GE_GERICHTE DCSO/208/2016 du 30 juin 2016</w:t>
      </w:r>
    </w:p>
    <w:p>
      <w:r>
        <w:t>IT: GE_GERICHTE DCSO/208/2016 del 30 giugno 2016</w:t>
      </w:r>
    </w:p>
    <w:p>
      <w:pPr>
        <w:pStyle w:val="Heading2"/>
      </w:pPr>
      <w:r>
        <w:t>Erwägungen</w:t>
      </w:r>
    </w:p>
    <w:p>
      <w:r>
        <w:rPr>
          <w:b/>
        </w:rPr>
        <w:t>E. 1.1</w:t>
      </w:r>
    </w:p>
    <w:p>
      <w:r>
        <w:t>La Chambre de surveillance est compétente pour statuer sur les plaintes formées en application de la LP (art. 13 LP ; art. 125 et 126 LOJ; art. 6 al. 1 et 3 et 7 al. 1 LaLP) contre des mesures non attaquables par la voie judiciaire ou, comme en l’espèce, pour retard injustifié (art. 17 al. 1 et 2 LP). La plainte doit être déposée dans les dix jours de celui où le plaignant a eu connaissance de la mesure (art. 17 al. 2 LP) et elle doit satisfaire aux exigences de forme et de contenu prescrites par la loi (art. 9 al. 1 et 2 LaLP).</w:t>
      </w:r>
    </w:p>
    <w:p>
      <w:r>
        <w:rPr>
          <w:b/>
        </w:rPr>
        <w:t>E. 1.2</w:t>
      </w:r>
    </w:p>
    <w:p>
      <w:r>
        <w:t>En tant que tierce revendiquante, la plaignante a qualité pour se plaindre d’une décision de l'Office rejetant ses revendications et lui impartissant un délai pour déposer une action judiciaire aux fins de faire reconnaître les droits qu'elle revendique.</w:t>
      </w:r>
    </w:p>
    <w:p>
      <w:r>
        <w:t>Pour le surplus, elle a procédé dans les délais et forme imposés par la loi, de sorte que sa présente plainte est recevable.</w:t>
      </w:r>
    </w:p>
    <w:p>
      <w:r>
        <w:rPr>
          <w:b/>
        </w:rPr>
        <w:t>E. 2</w:t>
      </w:r>
    </w:p>
    <w:p>
      <w:r>
        <w:t>2.1.1 L'appel aux créanciers de l'art. 232 LP comporte notamment la sommation aux tiers qui revendiquent un droit de distraction ou opposent au droit inventorié un autre droit qui s'oppose à sa réalisation (art. 232 al. 2 ch. 2 LP).</w:t>
      </w:r>
    </w:p>
    <w:p>
      <w:r>
        <w:t>La procédure de revendication est réglée par les art. 45 à 54 OAOF et elle est résumée à l'art. 242 LP.</w:t>
      </w:r>
    </w:p>
    <w:p>
      <w:r>
        <w:t>- 5/7 -</w:t>
      </w:r>
    </w:p>
    <w:p>
      <w:r>
        <w:t>A/781/2016-CS</w:t>
      </w:r>
    </w:p>
    <w:p>
      <w:r>
        <w:t>Cette procédure est déclenchée par une déclaration de revendication qui peut émaner du tiers revendiquant (art. 34 OAOF), du failli ou de toute autre personne (art. 45 al. 1 OAOF). Elle doit être faite dans le mois à compter de la publication de la faillite (art. 232 al. 2 ch. 2 LP). Ce délai est prolongeable (art. 33 al. 2 LP) et restituable (art. 33 al. 4 LP) et une déclaration de revendication tardive est possible jusqu'à la répartition du produit de réalisation. Le tiers qui n'agit pas dans le délai d'un mois dès la publication de l'appel aux créanciers ne perd donc pas son droit de revendiquer mais doit l'exercer avant la répartition du produit de la réalisation (art. 50 OAOF; GILLIERON, Commentaire ad art. 232 n° 51 ss, ad art. 242 n° 8 ss, et les jurisprudences citées; STOFFEL, Voies d'exécution § 11 p. 313 ss).</w:t>
      </w:r>
    </w:p>
    <w:p>
      <w:r>
        <w:t>2.1.2 Lors d'une revendication dans le cadre d'une faillite, les litiges sont liquidés selon la procédure réglée par les art. 242 al. 1 et 2 LP ainsi que 45 à 52 OAOF.</w:t>
      </w:r>
    </w:p>
    <w:p>
      <w:r>
        <w:t>A teneur de l'art. 242 al 1 et 2 LP, l'administration de la faillite décide si les objets revendiqués par des tiers leur seront restitués. Si elle juge cette prétention infondée, elle assigne au tiers un délai de vingt jours pour intenter action en revendication devant le juge civil. Ce délai est péremptoire et le revendiquant doit en être informé. L'avis par lequel le délai pour ouvrir action sera fixé au tiers revendiquant doit contenir l'indication exacte de l'objet litigieux (art. 46 OAOF).</w:t>
      </w:r>
    </w:p>
    <w:p>
      <w:r>
        <w:t>En attribuant à l'administration de la faillite le pouvoir de décider si les biens revendiqués par des tiers leur seront restitués, l'art. 242 al. 1 LP s'en remet à elle du soin de décider s'il y a lieu ou non de faire droit à une revendication. Les autorités de surveillance n'ont pas à donner d'instructions à l'administration de la faillite au sujet de cette décision, qui dépend de considérations touchant le droit de fond, pas plus qu'elles n'ont à intervenir dans les décisions à prendre au sujet de l'admission d'une créance au passif selon l'art. 245 LP (ATF 87 III 14, JdT 1961 75).</w:t>
      </w:r>
    </w:p>
    <w:p>
      <w:r>
        <w:rPr>
          <w:b/>
        </w:rPr>
        <w:t>E. 2.2</w:t>
      </w:r>
    </w:p>
    <w:p>
      <w:r>
        <w:t>Au vu des principes rappelés ci-dessus, appliqués aux faits de la présente cause, la Chambre de surveillance constate tout d'abord qu'aucun grief ne peut être fait à l'Office quant à la validité formelle de la décision querellée.</w:t>
      </w:r>
    </w:p>
    <w:p>
      <w:r>
        <w:t>En effet, cette décision du 23 février 2016 était accompagné d’un inventaire- revendications, qui énumérait une par une les prétentions émises par la SA et qui individualisait chacun des actifs inventoriés du failli ainsi revendiqués.</w:t>
      </w:r>
    </w:p>
    <w:p>
      <w:r>
        <w:t>En outre, l’Office a dûment informé la plaignante que l’essentiel de ses revendications étaient écartées et il lui a fixé le délai nécessaire pour ouvrir action en revendication devant le juge civil.</w:t>
      </w:r>
    </w:p>
    <w:p>
      <w:r>
        <w:t>Certes, l’Office ne s’est-il pas prononcé sur la revendication de ladite plaignante portant sur la marque F______ inventoriée.</w:t>
      </w:r>
    </w:p>
    <w:p>
      <w:r>
        <w:t>- 6/7 -</w:t>
      </w:r>
    </w:p>
    <w:p>
      <w:r>
        <w:t>A/781/2016-CS</w:t>
      </w:r>
    </w:p>
    <w:p>
      <w:r>
        <w:t>Il sera dès lors invité à prendre cette revendication en considération et à ouvrir à son sujet la procédure prévue aux art. 242 LP et 45 à 54 OELP, cela avant la répartition du produit de la réalisation des actifs de la masse. En effet, cette ultime échéance est consentie au tiers revendiquant pour déposer une revendication tardive, ce qui signifie de facto que l'Office est encore susceptible de prendre une décision au sujet d'une tierce revendication jusqu'à cette même échéance.</w:t>
      </w:r>
    </w:p>
    <w:p>
      <w:r>
        <w:t>Enfin, s'agissant du grief de la plaignante, consistant à se plaindre du fait que l'Office n'aurait pas attendu, avant de prendre sa décision querellée, de connaître la teneur des justificatifs de ses revendications que ladite plaignante entendait lui remettre, la Chambre de surveillance constatera d'emblée que ledit Office avait tout de même en mains une pièce déterminante à cet égard, à savoir le contrat par lequel l'entreprise individuelle avait vendu certains de ses actifs à la plaignante, le 14 décembre 2012.</w:t>
      </w:r>
    </w:p>
    <w:p>
      <w:r>
        <w:t>Par ailleurs, les revendications de la plaignante datent du 17 novembre 2015, soit de 3 mois avant la décision querellée de l’Office, de sorte que ladite plaignante avait tout le temps nécessaire pour transmettre à l’Office, avant le prononcé de la décision querellée de ce dernier, les justificatifs qu’elle dit n’avoir pas eu l’occasion de lui soumettre.</w:t>
      </w:r>
    </w:p>
    <w:p>
      <w:r>
        <w:t>Pour le reste, la Chambre de surveillance n'entrera pas en matière plus avant sur cette question, car elle n'a pas la compétence de donner des instructions à l'Office au sujet de sa décision sur une tierce revendication. C'est par ailleurs au juge civil qu'il appartiendra de se prononcer sur le bienfondé des revendications de la plaignante faisant l'objet de la présente plainte.</w:t>
      </w:r>
    </w:p>
    <w:p>
      <w:r>
        <w:t>Cette dernière sera en conséquence rejetée et la décision de l'Office confirmée.</w:t>
      </w:r>
    </w:p>
    <w:p>
      <w:r>
        <w:t>La procédure de plainte est gratuite. Il n’y a lieu ni de percevoir un émolument de justice, ni d’allouer des dépens (art. 20a al. 1 phr. 1 LP; art. 61 al. 2 let. a et art. 62 al. 2 OELP). * * * * *</w:t>
      </w:r>
    </w:p>
    <w:p>
      <w:r>
        <w:t>- 7/7 -</w:t>
      </w:r>
    </w:p>
    <w:p>
      <w:r>
        <w:t>A/781/2016-CS PAR CES MOTIFS, La Chambre de surveillance : A la forme : Déclare recevable la plainte formée le 7 mars 2016 par A______ SA contre la décision prise par l'Office des faillites le 23 février 2016 dans le cadre de la faillite de C______. Au fond : La rejette. Invite pour le surplus l'Office des faillites à traiter la revendication formée par A______ SA au sujet de la marque F______. Déboute les parties de toutes autres conclusions. Siégeant : Madame Valérie LAEMMEL-JUILLARD, présidente; Monsieur Frédéric HENSLER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