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DCSO/208/2012 vom 31. Mai 2012</w:t>
      </w:r>
    </w:p>
    <w:p>
      <w:r>
        <w:t>GE Cour de justice, 2012-05-31, FR</w:t>
      </w:r>
    </w:p>
    <w:p>
      <w:r>
        <w:rPr>
          <w:b/>
        </w:rPr>
        <w:t xml:space="preserve">Quelle: </w:t>
      </w:r>
      <w:r>
        <w:t>https://mcp.opencaselaw.ch/entscheid/ge_gerichte_DCSO_208_2012</w:t>
      </w:r>
    </w:p>
    <w:p>
      <w:r>
        <w:t>FR: GE_GERICHTE DCSO/208/2012 du 31 mai 2012</w:t>
      </w:r>
    </w:p>
    <w:p>
      <w:r>
        <w:t>IT: GE_GERICHTE DCSO/208/2012 del 31 maggio 2012</w:t>
      </w:r>
    </w:p>
    <w:p>
      <w:pPr>
        <w:pStyle w:val="Heading2"/>
      </w:pPr>
      <w:r>
        <w:t>Regeste</w:t>
      </w:r>
    </w:p>
    <w:p>
      <w:r>
        <w:t>Résumé: L'indication de l'adresse professionnelle du poursuivi en lieu et place de celle du domicile ne constitue pas un motif d'annulation du commandement de payer lorsque la différence est sans incidence sur le for de la poursuite.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le plaignant allègue avoir eu connaissance du commandement de payer qu'il attaque le 14 mars 2012 lors de son interrogatoire à l'Office. Or il résulte du procès-verbal des opérations de la saisie et du rapport de l'Office que cet interrogatoire a eu lieu le 8 et non le 14 mars 2012. Expédiée le 23 mars 2012, la plainte apparaît dès lors tardive. Sauf à constater un motif de nullité de la poursuite, invocable en tout temps (art. 22 al. 1 LP), la plainte devra dès lors être déclarée irrecevable. 2. 2.1 Une réquisition de poursuite doit satisfaire aux exigences prévues à l'art. 67 LP, à savoir énoncer notamment le nom et le domicile du débiteur et, le cas échéant, de son représentant (art. 67 al. 1 ch. 2 LP), soit, selon le formulaire officiel (Form. 1), son adresse exacte, c'est-à-dire son adresse au lieu où il a son domicile (art. 46 al. 1 LP) ou au lieu où il se trouve s'il n'a pas de domicile fixe (art. 48 LP). Cette indication est indispensable à une désignation "claire et certaine, non équivoque et excluant tout doute sur son identité" et l'office des poursuites doit refuser de donner suite à la réquisition si cette indication manque (Pierre-Robert GILLIERON, Commentaire, ad art. 67 n. 23, 33 et 40 et ad art. 69 n. 30-31; Sabine KOFMEL EHRENZELLER, in BaK SchKG-I, ad art. 67 n° 28; ATF 120 III 60 consid. 2; DCSO/194/2006 du 23 mars 2006, consid. 3; DCSO/225/2006 du 6 avril 2006, consid. 3.a.). Ces mentions sont reprises dans le commandement de payer (art. 69 al. 2 ch. 1 LP). C'est normalement l'adresse du domicile du poursuivi que le poursuivant doit indiquer dans la réquisition de poursuite (art. 67 al. 1 ch. 2 LP) et que l'Office reprend dans le commandement de payer (art. 69 al. 2 ch. 1 LP), sans préjudice de la possibilité d'indiquer, sous la rubrique "Autres observations", une adresse professionnelle où la notification pourrait aussi être faite (GILLIERON, Commentaire, ad art. 67 n° 40 in fine). L'important, sous réserve des questions de for, c'est que le poursuivi puisse être identifié sans ambiguïté (ATF 120 III 60 consid. 2), si bien que la notion de "domicile du débiteur" figurant à l'art. 67 al. 1 ch. 2 LP pourrait être une adresse possible de notification ne coïncidant pas avec l'adresse du domicile du poursuivi (DCSO/227/2005 du 7 avril 2005, consid. et la référence à KOFMEL EHRENZELLER, in BaK SchKG-I, ad art. 67 n° 31).</w:t>
      </w:r>
    </w:p>
    <w:p>
      <w:r>
        <w:t>- 5/6 -</w:t>
      </w:r>
    </w:p>
    <w:p>
      <w:r>
        <w:t>A/933/2012-CS Quoi qu'il en soit, l'indication de l'adresse professionnelle du poursuivi en lieu et place de celle du domicile ne constitue pas un motif d'annulation du commandement de payer lorsque la différence est sans incidence sur le for de la poursuite (autrement dit lorsque l'adresse du domicile et l'adresse professionnelle du poursuivi sont situées dans le même arrondissement de poursuite), que le poursuivi a pu être identifié sans ambiguïté et que le commandement de payer lui a été notifié (DCSO/227/2005 précitée). 2.2 En l'espèce, le plaignant allègue expressément être domicilié dans le canton de Genève, de sorte que, conformément à la jurisprudence susrappelée, l'indication de son adresse professionnelle genevoise en lieu et place de son domicile privé genevois ne rend pas la poursuite annulable et, a fortiori, nulle.</w:t>
      </w:r>
    </w:p>
    <w:p>
      <w:r>
        <w:rPr>
          <w:b/>
        </w:rPr>
        <w:t>E. 3</w:t>
      </w:r>
    </w:p>
    <w:p>
      <w:r>
        <w:t>et 7 al. 1 LaLP) contre des mesures non attaquables par la voie judiciaire (art. 17 al. 1 LP).</w:t>
      </w:r>
    </w:p>
    <w:p>
      <w:r>
        <w:t>- 4/6 -</w:t>
      </w:r>
    </w:p>
    <w:p>
      <w:r>
        <w:t>A/933/2012-CS</w:t>
      </w:r>
    </w:p>
    <w:p>
      <w:r>
        <w:t>Il est constant qu'un commandement de payer, de même que sa notification, constituent des mesures sujettes à plainte que le plaignant, débiteur a qualité pour attaquer par cette voie.</w:t>
      </w:r>
    </w:p>
    <w:p>
      <w:r>
        <w:rPr>
          <w:b/>
        </w:rPr>
        <w:t>E. 3.1</w:t>
      </w:r>
    </w:p>
    <w:p>
      <w:r>
        <w:t>La notification d'un commandement de payer dans une poursuite dirigée contre une personne physique peut, au choix de l'Office, avoir lieu tant dans la demeure, c'est-à-dire au domicile privé du poursuivi, qu'au lieu où il exerce habituellement sa profession, l'acte pouvant au surplus, en son absence, être remis à une personne adulte de son ménage ou à un employé (art. 64 al. 1 LP).</w:t>
      </w:r>
    </w:p>
    <w:p>
      <w:r>
        <w:rPr>
          <w:b/>
        </w:rPr>
        <w:t>E. 3.2</w:t>
      </w:r>
    </w:p>
    <w:p>
      <w:r>
        <w:t>En l'espèce, le plaignant admet que le commandement de payer a été notifié sur son lieu de travail à l'une de ses employées. Une telle notification est conforme à la loi et ne consacre aucun vice pouvant entraîner la nullité de la poursuite.</w:t>
      </w:r>
    </w:p>
    <w:p>
      <w:r>
        <w:rPr>
          <w:b/>
        </w:rPr>
        <w:t>E. 4</w:t>
      </w:r>
    </w:p>
    <w:p>
      <w:r>
        <w:t>Compte tenu de ce qui précède, la plainte, tardive (cf. consid. 1.2 ci-dessus), doit être déclarée irrecevable, faute d'un quelconque motif de nullité de la poursuite.</w:t>
      </w:r>
    </w:p>
    <w:p>
      <w:r>
        <w:rPr>
          <w:b/>
        </w:rPr>
        <w:t>E. 5</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- 6/6 -</w:t>
      </w:r>
    </w:p>
    <w:p>
      <w:r>
        <w:t>A/933/2012-CS PAR CES MOTIFS, La Chambre de surveillance : Déclare irrecevable la plainte formée le 23 mars 2012 par M. D______ contre le commandement de payer notifié le 19 septembre 2011 dans la poursuite n° 11 xxxx30 M. Siégeant : Monsieur Grégory BOVEY, président; Monsieur Antoine HAMDAN et Monsieur Eric DE PREUX,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