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DCSO/207/2012 vom 31. Mai 2012</w:t>
      </w:r>
    </w:p>
    <w:p>
      <w:r>
        <w:t>GE Cour de justice, 2012-05-31, FR</w:t>
      </w:r>
    </w:p>
    <w:p>
      <w:r>
        <w:rPr>
          <w:b/>
        </w:rPr>
        <w:t xml:space="preserve">Quelle: </w:t>
      </w:r>
      <w:r>
        <w:t>https://mcp.opencaselaw.ch/entscheid/ge_gerichte_DCSO_207_2012</w:t>
      </w:r>
    </w:p>
    <w:p>
      <w:r>
        <w:t>FR: GE_GERICHTE DCSO/207/2012 du 31 mai 2012</w:t>
      </w:r>
    </w:p>
    <w:p>
      <w:r>
        <w:t>IT: GE_GERICHTE DCSO/207/2012 del 31 maggio 2012</w:t>
      </w:r>
    </w:p>
    <w:p>
      <w:pPr>
        <w:pStyle w:val="Heading2"/>
      </w:pPr>
      <w:r>
        <w:t>Regeste</w:t>
      </w:r>
    </w:p>
    <w:p>
      <w:r>
        <w:t>Résumé: L'Office a suffisament investigué la situation de la débitrice.</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non attaquables par la voie judiciaire (art. 17 al. 1 LP). Il est constant qu'un procès-verbal de saisie est une mesure sujette à plainte, que le plaignant, créancier, a qualité pour contester par cette voie.</w:t>
      </w:r>
    </w:p>
    <w:p>
      <w:r>
        <w:rPr>
          <w:b/>
        </w:rPr>
        <w:t>E. 1.2</w:t>
      </w:r>
    </w:p>
    <w:p>
      <w:r>
        <w:t>La plainte contre une mesure de l'Office doit être déposée dans les dix jours suivant celui où le plaignant a eu connaissance de la décision attaquée (art. 17 al. 2 LP). En l'espèce, expédiée le 4 avril 2012 contre un procès-verbal de saisie envoyé le 28 mars 2012, la plainte l'a été en temps utile. Respectant pour le surplus les exigences de forme prescrites par la loi (art. 9 al. 1 LaLP), la plainte est recevable.</w:t>
      </w:r>
    </w:p>
    <w:p>
      <w:r>
        <w:rPr>
          <w:b/>
        </w:rPr>
        <w:t>E. 2.1</w:t>
      </w:r>
    </w:p>
    <w:p>
      <w:r>
        <w:t>L'Office qui est en charge de l'exécution de la saisie (art. 89 LP) doit déterminer d'office les faits pertinents pour son exécution (cf. not. ATF 108 III 10,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w:t>
      </w:r>
    </w:p>
    <w:p>
      <w:r>
        <w:t>- 5/7 -</w:t>
      </w:r>
    </w:p>
    <w:p>
      <w:r>
        <w:t>A/1061/2012-CS d'un officier de police judiciaire" (Pierre-Robert GILLIERON, Commentaire de la loi fédérale sur la poursuite pour dettes et la faillite,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GILLIERON,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(GILLIERON, op. cit., n. 19 ad art. 91). Lorsque l'instruction à laquelle procède l'Office ne révèle aucun élément certain, il faut tenir compte des indices à disposition (ATF 81 III 147, JdT 1956 II 10).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ATF 86 III 53 consid. 1, JdT 1961 II 12).</w:t>
      </w:r>
    </w:p>
    <w:p>
      <w:r>
        <w:rPr>
          <w:b/>
        </w:rPr>
        <w:t>E. 2.2</w:t>
      </w:r>
    </w:p>
    <w:p>
      <w:r>
        <w:t>En l'espèce, il y a lieu de constater que la plainte est devenue, sur plusieurs points, sans objet en cours de procédure. Il s'avère en effet que, sur le vu de la plainte, l'Office s'est rendu au domicile de la débitrice et n'y a constaté la présence d'aucun bien saisissable. L'Office a également interrogé la débitrice et a reçu de sa part copie d'un extrait récent du compte où lui sont versés les subsides de l'Hospice général. Cet extrait de compte a également directement été produit par la débitrice elle-même. Cette dernière a également fourni sa police d'assurance-maladie pour l'année 2012. Ainsi qu'en atteste les relevés de compte précités, rien ne permet de douter des déclarations de la débitrice, selon lesquelles elle ne perçoit pas d'autre revenu que les subsides que lui verse l'Hospice général chaque mois. Il est vrai, s'agissant des charges de la débitrice, que l'Office n'aurait pas dû se contenter d'un avis de fixation du loyer initial datant de 2006 et concernant des</w:t>
      </w:r>
    </w:p>
    <w:p>
      <w:r>
        <w:t>- 6/7 -</w:t>
      </w:r>
    </w:p>
    <w:p>
      <w:r>
        <w:t>A/1061/2012-CS locataires qui, s'ils portent le même patronyme que la débitrice, ne peuvent à l'évidence lui être assimilée. Il aurait au contraire dû exiger production du contrat de bail au nom de la débitrice et la preuve du paiement régulier du loyer. Il en allait de même de l'assurance-maladie, la seule production de la police d'assurance étant insuffisante. Dès lors toutefois que les subsides de l'Hospice général sont absolument insaisissables (art. 92 ch. 8 LP et art. 8 al. 3 de la loi sur l'insertion et l'aide sociale individuelle (RS/GE J 4 04 – LIASI)) et que l'Office a constaté que la débitrice ne possédait aucun bien saisissable à son domicile, l'on ne voit pas qu'il ait à procéder à d'autres investigations pour décider d'établir un acte de défaut de biens. Il n'a en particulier pas à investiguer sur un supposé rapport de concubinage – dont le plaignant n'allègue pas qu'il serait avec enfants –, dès lors qu'à teneur de la jurisprudence, le salaire du concubin n'est pas pris en considération dans le calcul du minimum vital du débiteur, seule la moitié des frais commun étant retenue (ATF 128 III 159, JdT 2002 II 58 consid. 3.5 et les références citées; Michel OCHSNER, CR-LP, ad art. 93 n° 92 ss). Il suit de là que la plainte doit être rejetée, dans la mesure où elle a conservé un objet.</w:t>
      </w:r>
    </w:p>
    <w:p>
      <w:r>
        <w:rPr>
          <w:b/>
        </w:rPr>
        <w:t>E. 3</w:t>
      </w:r>
    </w:p>
    <w:p>
      <w:r>
        <w:t>La procédure de plainte est gratuite (art. 20a al. 2 ch. 5 LP et art. 61 al. 2 let. a OELP).</w:t>
      </w:r>
    </w:p>
    <w:p>
      <w:r>
        <w:t>* * * * *</w:t>
      </w:r>
    </w:p>
    <w:p>
      <w:r>
        <w:t>- 7/7 -</w:t>
      </w:r>
    </w:p>
    <w:p>
      <w:r>
        <w:t>A/1061/2012-CS PAR CES MOTIFS, La Chambre de surveillance : A la forme : Déclare recevable la plainte formée par M. D______ le 4 avril 2012 contre le procès- verbal de saisie expédié par l'Office des poursuites le 28 mars 2012 dans le cadre de la poursuite n° 12 xxxx92 Z. Au fond : La rejette, dans la mesure où elle a conservé un objet. Siégeant : Monsieur Grégory BOVEY, président; Monsieur Antoine HAMDAN et Monsieur Eric DE PREUX, juges assesseurs;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