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DCSO/206/2018 vom 12. April 2018</w:t>
      </w:r>
    </w:p>
    <w:p>
      <w:r>
        <w:t>GE Cour de justice, 2018-04-12, FR</w:t>
      </w:r>
    </w:p>
    <w:p>
      <w:r>
        <w:rPr>
          <w:b/>
        </w:rPr>
        <w:t xml:space="preserve">Quelle: </w:t>
      </w:r>
      <w:r>
        <w:t>https://mcp.opencaselaw.ch/entscheid/ge_gerichte_DCSO_206_2018</w:t>
      </w:r>
    </w:p>
    <w:p>
      <w:r>
        <w:t>FR: GE_GERICHTE DCSO/206/2018 du 12 avril 2018</w:t>
      </w:r>
    </w:p>
    <w:p>
      <w:r>
        <w:t>IT: GE_GERICHTE DCSO/206/2018 del 12 aprile 2018</w:t>
      </w:r>
    </w:p>
    <w:p>
      <w:pPr>
        <w:pStyle w:val="Heading2"/>
      </w:pPr>
      <w:r>
        <w:t>Regeste</w:t>
      </w:r>
    </w:p>
    <w:p>
      <w:r>
        <w:t>Résumé: Révision de la saisie, 13ème salaire, minimum vital</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w:t>
      </w:r>
    </w:p>
    <w:p>
      <w:r>
        <w:t>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2ème éd., 2014, n. 11 et 12 ad art. 17 LP).</w:t>
      </w:r>
    </w:p>
    <w:p>
      <w:r>
        <w:rPr>
          <w:b/>
        </w:rPr>
        <w:t>E. 1.2</w:t>
      </w:r>
    </w:p>
    <w:p>
      <w:r>
        <w:t>En l'espèce, la plainte a été interjetée en temps utile par le débiteur, susceptible d'être touché dans ses intérêts, et répond aux exigences de forme requises par la loi.</w:t>
      </w:r>
    </w:p>
    <w:p>
      <w:r>
        <w:t>Elle est ainsi recevable.</w:t>
      </w:r>
    </w:p>
    <w:p>
      <w:r>
        <w:rPr>
          <w:b/>
        </w:rPr>
        <w:t>E. 1.3</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2.1</w:t>
      </w:r>
    </w:p>
    <w:p>
      <w:r>
        <w:t>Selon l'art. 93 al. 1 LP, tous les revenus du travail peuvent être saisis, déduction faite de ce que le préposé estime indispensable au débiteur et à sa famille (minimum vital).</w:t>
      </w:r>
    </w:p>
    <w:p>
      <w:r>
        <w:t>- 5/7 -</w:t>
      </w:r>
    </w:p>
    <w:p>
      <w:r>
        <w:t>A/4962/2017-CS L'expression "tous les revenus du travail" englobe toutes les formes de rétribution d'un travail personnel, régulier ou occasionnel, périodique ou permanent, principal ou accessoire, dans le cadre d'une activité d'employé ou d'indépendant (OCHSNER, in CR LP, n. 12 ad art. 93 LP). Lorsque le débiteur se trouve dans un rapport de subordination résultant d'un contrat de travail, le "salaire" qu'il en retire doit être compris dans son acception la plus large et comprend par conséquent le salaire de base, les primes, les gratifications ainsi que le 13ème salaire, pour autant que le salaire annuel total soit supérieur au minimum vital annuel (OCHSNER, op. cit., n. 20 ad art. 93 LP).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Normes d'insaisissabilité,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ajoutées à cette base mensuelle d'entretien, pour autant qu'elles soient effectivement payées (OCHSNER, in CR-LP, n. 82 ad art. 93 LP). En revanche, les impôts, les frais non strictement nécessaires, tels loisirs, vacances, frais et redevances radio-TV ou téléphone non inclus dans le montant de base, etc., ainsi que les primes d'assurances non obligatoires ne font pas partie du minimum vital (BASTONS BULLETTI, in SJ 2007 II 84 ss, 88 s).</w:t>
      </w:r>
    </w:p>
    <w:p>
      <w:r>
        <w:rPr>
          <w:b/>
        </w:rPr>
        <w:t>E. 2.2</w:t>
      </w:r>
    </w:p>
    <w:p>
      <w:r>
        <w:t>Si, durant ce délai [validité d'un an de la saisie, cf. art. 93 al. 2 LP], l'office a connaissance d'une modification déterminante du montant de la saisie, il adapte l'ampleur de la saisie aux nouvelles circonstances (art. 93 al. 3 LP). Conformément à cette disposition, la quotité saisissable peut être révisée pendant la durée de la saisie, sur requête ou d'office, en cas de modification déterminante de la situation patrimoniale du débiteur, notamment une diminution des revenus</w:t>
      </w:r>
    </w:p>
    <w:p>
      <w:r>
        <w:t>- 6/7 -</w:t>
      </w:r>
    </w:p>
    <w:p>
      <w:r>
        <w:t>A/4962/2017-CS qu'il perçoit (arrêt du Tribunal fédéral 5A_16/2011 du 2 mai 2011 consid. 2.2; OCHSNER, in CR-LP, n. 209 ss. ad art. 93 LP). Alors que la plainte (art. 17 LP) est la voie de droit à suivre pour contester la saisie de revenus lorsque l'office a mal apprécié les circonstances existant au moment de l'exécution de cette mesure, la révision de l'art. 93 al. 3 LP est celle qui doit être utilisée lorsque les circonstances ont changé en cours de saisie de telle sorte que la quotité saisissable doit être recalculée, qu'une saisie doit être exécutée ou, à l'inverse, révoquée (OCHSNER, op. cit., n. 209 ad art. 93 LP). La révision opérée par l'office peut être contestée par la voie de la plainte, cette dernière ne pouvant porter que sur les éléments nouveaux que l'office a retenus pour adapter la saisie (OCHSNER, op. cit., n. 212 ad art. 93 LP).</w:t>
      </w:r>
    </w:p>
    <w:p>
      <w:r>
        <w:rPr>
          <w:b/>
        </w:rPr>
        <w:t>E. 2.3</w:t>
      </w:r>
    </w:p>
    <w:p>
      <w:r>
        <w:t>En l'espèce, le plaignant ne conteste pas le montant de la saisie fixée par l'Office sur la base des renseignements obtenus lors de son interrogatoire du 19 octobre 2017. En particulier, il admet que son salaire mensuel de base s'élève à 3'788 fr. 25 et il ne soutient pas que ses charges ou celles de sa famille auraient été établies de façon erronée.</w:t>
      </w:r>
    </w:p>
    <w:p>
      <w:r>
        <w:t>Le fait que l'huissier l'ait informé ou non de ce que la saisie porterait également sur son 13ème salaire n'affecte pas la validité de celle-ci, puisque l'Office était tenu de l'exécuter conformément à l'art. 93 al. 1 LP, lequel prévoit que la saisie porte sur l'ensemble des revenus du travail, y compris les primes, gratifications et le 13ème salaire.</w:t>
      </w:r>
    </w:p>
    <w:p>
      <w:r>
        <w:t>La plainte, mal fondée, doit dès lors être rejetée.</w:t>
      </w:r>
    </w:p>
    <w:p>
      <w:r>
        <w:t>Pour le surplus, si la situation financière du plaignant est amenée à se modifier en cours de saisie, par exemple suite à un jugement de divorce – circonstance évoquée dans la plainte –, il lui appartiendra d'en aviser l'Office afin que le montant de la saisie soit adapté, le cas échéant, à ces éléments nouveaux.</w:t>
      </w:r>
    </w:p>
    <w:p>
      <w:r>
        <w:t>En tout état, la procédure de plainte est ici prématurée, le plaignant n'ayant pas requis la révision de la saisie auprès de l'Office au sens de l'art. 93 al. 3 LP.</w:t>
      </w:r>
    </w:p>
    <w:p>
      <w:r>
        <w:rPr>
          <w:b/>
        </w:rPr>
        <w:t>E. 3</w:t>
      </w:r>
    </w:p>
    <w:p>
      <w:r>
        <w:t>La procédure de plainte est gratuite (art. 20a al. 2 ch. 5 LP et art. 61 al. 2 let. a OELP) et il ne peut être alloué aucun dépens (art. 62 al. 2 OELP).</w:t>
      </w:r>
    </w:p>
    <w:p>
      <w:r>
        <w:t>* * * * *</w:t>
      </w:r>
    </w:p>
    <w:p>
      <w:r>
        <w:t>- 7/7 -</w:t>
      </w:r>
    </w:p>
    <w:p>
      <w:r>
        <w:t>A/4962/2017-CS PAR CES MOTIFS, La Chambre de surveillance : A la forme : Déclare recevable la plainte formée le 13 décembre 2017 par A______ contre le procès- verbal de saisie du 1er décembre 2017, série n° 81 17 xxxx88 M. Au fond : La rejette. Siégeant : Madame Nathalie RAPP, présidente; Monsieur Georges ZUFFEREY et Monsieur Claude MARCET, juges assesseurs;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