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DCSO/205/2016 vom 30. Juni 2016</w:t>
      </w:r>
    </w:p>
    <w:p>
      <w:r>
        <w:t>GE Cour de justice, 2016-06-30, FR</w:t>
      </w:r>
    </w:p>
    <w:p>
      <w:r>
        <w:rPr>
          <w:b/>
        </w:rPr>
        <w:t xml:space="preserve">Quelle: </w:t>
      </w:r>
      <w:r>
        <w:t>https://mcp.opencaselaw.ch/entscheid/ge_gerichte_DCSO_205_2016</w:t>
      </w:r>
    </w:p>
    <w:p>
      <w:r>
        <w:t>FR: GE_GERICHTE DCSO/205/2016 du 30 juin 2016</w:t>
      </w:r>
    </w:p>
    <w:p>
      <w:r>
        <w:t>IT: GE_GERICHTE DCSO/205/2016 del 30 giugno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retard injustifié peut être formée en tout temps (art. 17 al. 3 LP).</w:t>
      </w:r>
    </w:p>
    <w:p>
      <w:r>
        <w:t>- 3/5 -</w:t>
      </w:r>
    </w:p>
    <w:p>
      <w:r>
        <w:t>A/1470/2016-CS En tant que créancier poursuivant, le plaignant a qualité pour se plaindre d’un retard injustifié dans le traitement de sa réquisition de continuer la poursuite en cause. Sa plainte satisfait aux exigences de forme et de contenu prescrites par la loi (art. 9 al. 1 et 2 LaLP). 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 refusé de prendre une mesure dont il était légalement tenu, à réception de la réquisition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w:t>
      </w:r>
    </w:p>
    <w:p>
      <w:r>
        <w:rPr>
          <w:b/>
        </w:rPr>
        <w:t>E. 5</w:t>
      </w:r>
    </w:p>
    <w:p>
      <w:r>
        <w:t>LP) (DALLEVES/FOËX/JEANDIN, Commentaire romand de la LP ad. art. 71 LP, n. 2; GILLIERON, Poursuite pour dettes, faillite et concordat, 5ème édition, n. 647; DCSO/209/2004). 2.3.2 En l'espèce, la réquisition ayant donné lieu à la poursuite n° 16 xxxx91 J a été reçue le 9 février 2016 par l’Office, lequel n’a édité le commandement de payer correspondant que le 19 mai 2016, soit trois mois et 10 jours plus tard.</w:t>
      </w:r>
    </w:p>
    <w:p>
      <w:r>
        <w:t>- 4/5 -</w:t>
      </w:r>
    </w:p>
    <w:p>
      <w:r>
        <w:t>A/1470/2016-CS Un tel délai est à l'évidence constitutif d’un retard injustifié de l’Office, lequel n’a pas traité la réquisition de poursuite précitée avec la diligence requise par la loi, laquelle ne laisse pas place à une surcharge de travail dudit Office, même réelle, pour justifier une quelconque violation du principe de célérité applicable en la matière par cet Office. Cela étant, le commandement de payer précité ayant été effectivement notifié à la débitrice le 24 mai 2016 par ledit Office, il apparaît que la présente plainte est devenue sans objet en cours de procédure, en tant qu'elle avait pour objectif qu'une poursuite soit effectivement engagée à l’encontre de ladite débitrice, ce qui a été le cas. La présente cause A/1470/2016 sera par conséquent rayée du rôle pour ce motif. 3. En application de l’art. 62 al. 2 OELP, il n’est alloué aucuns frais ni dépens dans la procédure de plainte au sens de l'art. 17 LP. * * * * *</w:t>
      </w:r>
    </w:p>
    <w:p>
      <w:r>
        <w:t>- 5/5 -</w:t>
      </w:r>
    </w:p>
    <w:p>
      <w:r>
        <w:t>A/1470/2016-CS PAR CES MOTIFS, La Chambre de surveillance : A la forme : Déclare recevable la plainte pour retard injustifié formée le 9 mai 2016 par A______ dans le cadre de sa réquisition de poursuite à l’encontre de B______, reçue par l’Office le 9 février 2016. Au fond : Constate que cette plainte est devenue sans objet en cours de procédure. Dit par conséquent que la cause A/1470/2016 est rayée du rôle. Transmet la présente décision, pour information, au Préposé de l’Office des poursuites.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