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DCSO/204/2021 vom 27. Mai 2021</w:t>
      </w:r>
    </w:p>
    <w:p>
      <w:r>
        <w:t>GE Cour de justice, 2021-05-27, FR</w:t>
      </w:r>
    </w:p>
    <w:p>
      <w:r>
        <w:rPr>
          <w:b/>
        </w:rPr>
        <w:t xml:space="preserve">Quelle: </w:t>
      </w:r>
      <w:r>
        <w:t>https://mcp.opencaselaw.ch/entscheid/ge_gerichte_DCSO_204_2021</w:t>
      </w:r>
    </w:p>
    <w:p>
      <w:r>
        <w:t>FR: GE_GERICHTE DCSO/204/2021 du 27 mai 2021</w:t>
      </w:r>
    </w:p>
    <w:p>
      <w:r>
        <w:t>IT: GE_GERICHTE DCSO/204/2021 del 27 maggio 2021</w:t>
      </w:r>
    </w:p>
    <w:p>
      <w:pPr>
        <w:pStyle w:val="Heading2"/>
      </w:pPr>
      <w:r>
        <w:t>Erwägungen</w:t>
      </w:r>
    </w:p>
    <w:p>
      <w:r>
        <w:rPr>
          <w:b/>
        </w:rPr>
        <w:t>E. 1</w:t>
      </w:r>
    </w:p>
    <w:p>
      <w:r>
        <w:t>La plainte est recevable pour avoir été déposée auprès de l'autorité compétente (art. 17 al. 1 LP; 6 al.1 et 3 LaLP), par une partie lésée dans ses intérêts (ATF 138 III 219 consid. 2.3; 129 III 595 consid. 3; 120 III 42 consid. 3), dans le délai utile de 10 jours (art. 17 al. 2 LP; art. 31 LP; art. 142 al. 3 CPC) et selon la forme prescrite par la loi (art. 9 al. 1 et 2 LaLP; 65 al. 1 et 2 LPA, applicables par renvoi de l'art. 9 al. 4 LaLP), à l'encontre d'une mesure de l'Office sujette à plainte (TSCHUMY, in CR LP, n. 7 ad art. 107 LP et n. 3 ad art. 108 LP), soit la décision de l'Office fixant le rôle des parties dans la procédure en revendication.</w:t>
      </w:r>
    </w:p>
    <w:p>
      <w:r>
        <w:t>- 6/9 -</w:t>
      </w:r>
    </w:p>
    <w:p>
      <w:r>
        <w:t>A/3042/2020-CS</w:t>
      </w:r>
    </w:p>
    <w:p>
      <w:r>
        <w:rPr>
          <w:b/>
        </w:rPr>
        <w:t>E. 2</w:t>
      </w:r>
    </w:p>
    <w:p>
      <w:r>
        <w:t>2.1.1 Selon l'art. 106 al. 1 LP, applicable par analogie à la procédure de séquestre (art. 275 LP), lorsqu'il est allégué qu'un tiers a sur le bien saisi un droit de propriété, de gage ou un autre droit qui s'oppose à la saisie ou qui doit être pris en considération dans la suite de la procédure d'exécution, l'Office doit mentionner la prétention du tiers dans le procès-verbal de saisie ou, s'il a déjà été communiqué, en informer les parties.</w:t>
      </w:r>
    </w:p>
    <w:p>
      <w:r>
        <w:t>2.1.2 Dans l'exécution forcée spéciale, la procédure de revendication comporte deux phases. La première est de nature administrative; elle permet aux intéressés d'annoncer leurs prétentions et à l'office des poursuites de fixer la position procédurale des parties. L'office doit impartir un délai de 20 jours ou bien au tiers pour ouvrir action en constatation de son droit (art. 107 LP) ou bien au créancier/débiteur pour ouvrir action en contestation de la prétention du tiers (art. 108 LP), selon la personne qui est en possession - au sens d'une détention de fait (arrêts du Tribunal fédéral 5A_35/2014 du 13 février 2014 consid. 3.3; 7B.105/2006 du 13 octobre 2006 consid. 2) - de l'objet. La seconde est de nature judiciaire; elle permet au juge de trancher le conflit au fond (TSCHUMY, op. cit., n° 9 ad Intro art. 106 à 109 LP).</w:t>
      </w:r>
    </w:p>
    <w:p>
      <w:r>
        <w:t>Le débiteur n'est pas le "possesseur" exclusif du bien revendiqué lorsque le tiers revendiquant est le "possesseur" exclusif du bien revendiqué, lorsque le tiers revendiquant et le débiteur poursuivi ont la "copossession" dudit bien ou lorsque le quart détenteur détient pour le compte du tiers revendiquant (BSK SchKG I - STAEHELIN, n. 1, 4 à 6 ad art. 108 LP).</w:t>
      </w:r>
    </w:p>
    <w:p>
      <w:r>
        <w:t>2.1.3 Le but de la procédure en revendication des art. 106 à 109 LP est de permettre au tiers qui a sur le droit patrimonial saisi un droit préférable - parce qu'il est titulaire du droit patrimonial saisi ou qu'il a sur celui-ci un droit de gage ou un autre droit qui s'oppose à la saisie ou qui doit être pris en considération dans la suite de la procédure d'exécution - d'obtenir que ce droit patrimonial soit soustrait à l'exécution forcée dans la ou les poursuites en cours ou qu'il en soit tenu compte dans la suite de la procédure d'exécution en cours (ATF 144 III 198 consid. 5.1.1). La seule question à trancher est de déterminer si l'objet litigieux peut être réalisé dans la poursuite en cours au profit du créancier ou s'il doit être libéré de la saisie, ou, selon le cas, du séquestre (ATF 107 III 118 consid. 2). Cette procédure vise ainsi à assurer que seul le patrimoine du débiteur serve à payer ses créanciers (arrêt du Tribunal fédéral 5A_35/2014 du 13 février 2014 consid. 3.2).</w:t>
      </w:r>
    </w:p>
    <w:p>
      <w:r>
        <w:t>La répartition du rôle procédural par l'office des poursuites n'a pas d'influence sur celle du fardeau de la preuve dans la procédure en revendication. Les règles générales de preuve, notamment l'art. 8 CC, s'appliquent (ATF 116 III 82 consid. 2; arrêts du Tribunal fédéral 5A_584/2007 du 13 février 2008 consid. 3, publié in Pra 2008 (94) p. 601; 5C.245/2002 du 24 décembre 2002 consid. 2.3, publié in SJ 2003 I p. 444). Partant, il appartient au tiers revendiquant, qu'il soit demandeur (art. 107 LP) ou défendeur (art. 108 LP), d'établir son droit et au créancier</w:t>
      </w:r>
    </w:p>
    <w:p>
      <w:r>
        <w:t>- 7/9 -</w:t>
      </w:r>
    </w:p>
    <w:p>
      <w:r>
        <w:t>A/3042/2020-CS d'apporter les faits propres à le mettre en doute (arrêt du Tribunal fédéral 5C.96/1996 du 18 juillet 1996 consid. 3a).</w:t>
      </w:r>
    </w:p>
    <w:p>
      <w:r>
        <w:rPr>
          <w:b/>
        </w:rPr>
        <w:t>E. 2.2</w:t>
      </w:r>
    </w:p>
    <w:p>
      <w:r>
        <w:t>En l'espèce, les neuf tableaux revendiqués par le plaignant sont physiquement en possession d'un quart détenteur, soit une société d'entreposage.</w:t>
      </w:r>
    </w:p>
    <w:p>
      <w:r>
        <w:t>Le plaignant reproche à l'Office d'avoir fixé la position procédurale des parties en se fondant sur des considérations ressortant de l'arrêt de la Cour de justice du 28 avril 2020 rendu dans la procédure d'opposition à séquestre.</w:t>
      </w:r>
    </w:p>
    <w:p>
      <w:r>
        <w:t>Or, le principe général de l'interdiction de l'abus de droit (art. 2 al. 2 CC), dont découle notamment le principe de la transparence ("Durchgriff"), est valable pour l'ensemble de l'ordre juridique. L'Office doit aussi en tenir compte pour fixer la position procédurale des parties au sens des art. 106 et ss LP. Certes, l'Office doit uniquement résoudre la question du meilleur droit apparent et n'a pas à se demander si cet état de fait est conforme ou non au droit (ATF 123 III 367 consid. 3b). Il ne saurait toutefois faire abstraction d'éléments d'appréciation parvenus à sa connaissance et qui mettent en évidence des comportements qui ne jouissent pas de la protection de l'ordre juridique, à l'instar de la conclusion de contrats simulés dans le but d'induire des tiers en erreur, et ce quand bien même ces informations proviendraient de la procédure d'opposition à séquestre, jugée en procédure sommaire (cf. arrêt du Tribunal fédéral 5A_342/2020 du 4 mars 2021, consid. 4.1).</w:t>
      </w:r>
    </w:p>
    <w:p>
      <w:r>
        <w:t>Il résulte de l'arrêt de la Cour de justice du 28 avril 2020 qu'il a été retenu, sous l'angle de la vraisemblance, que la débitrice séquestrée est toujours la propriétaire des tableaux revendiqués par le trust, les contrats passés avec la fille de la débitrice séquestrée étant vraisemblablement simulés dans le but de soustraire ces œuvres aux créanciers (de la débitrice), la simulation étant ainsi accompagnée de l’intention d’induire les tiers en erreur. La Cour a aussi considéré qu'il y avait identité économique entre la fille de la débitrice et le trust. Sur cette base, l'Office pouvait valablement considérer que le quart détenteur détient vraisemblablement ces neuf tableaux pour le compte de la débitrice séquestrée exclusivement et non pas pour le compte du plaignant. C'est par conséquent à juste titre que l'Office a fixé à cette dernière un délai pour ouvrir action.</w:t>
      </w:r>
    </w:p>
    <w:p>
      <w:r>
        <w:t>Il sera enfin observé que cette répartition des rôles n'a pas d'incidence sur la répartition du fardeau de la preuve dans le procès au fond.</w:t>
      </w:r>
    </w:p>
    <w:p>
      <w:r>
        <w:t>Mal fondée, la plainte doit être rejetée.</w:t>
      </w:r>
    </w:p>
    <w:p>
      <w:r>
        <w:rPr>
          <w:b/>
        </w:rPr>
        <w:t>E. 3</w:t>
      </w:r>
    </w:p>
    <w:p>
      <w:r>
        <w:t>L'effet suspensif ayant été accordé à la plainte, la Chambre de céans impartira au plaignant un nouveau délai pour déposer son action (ATF 123 III 330 consid. 2).</w:t>
      </w:r>
    </w:p>
    <w:p>
      <w:r>
        <w:rPr>
          <w:b/>
        </w:rPr>
        <w:t>E. 4</w:t>
      </w:r>
    </w:p>
    <w:p>
      <w:r>
        <w:t>La procédure de plainte est gratuite (art. 20a al. 2 ch. 5 LP; 61 al. 2 lit. a OELP) et il n'est pas alloué de dépens (art. 62 al. 2 OELP).</w:t>
      </w:r>
    </w:p>
    <w:p>
      <w:r>
        <w:t>- 8/9 -</w:t>
      </w:r>
    </w:p>
    <w:p>
      <w:r>
        <w:t>A/3042/2020-CS</w:t>
      </w:r>
    </w:p>
    <w:p>
      <w:r>
        <w:t>* * * * *</w:t>
      </w:r>
    </w:p>
    <w:p>
      <w:r>
        <w:t>- 9/9 -</w:t>
      </w:r>
    </w:p>
    <w:p>
      <w:r>
        <w:t>A/3042/2020-CS PAR CES MOTIFS, La Chambre de surveillance : A la forme : Déclare recevable la plainte formée le 28 septembre 2020 par A______ contre la décision de l'Office cantonal des poursuites du 14 septembre 2020 dans le cadre de l'exécution du séquestre n° 1______. Au fond : La rejette. Dit que le délai de 20 jours imparti à A______, soit pour lui ses trustees, pour ouvrir action selon l'art. 107 LP commence à courir dès la communication de la présente décision. Siégeant : Madame Verena PEDRAZZINI RIZZI, présidente; Madame Ekaterine BLINOVA et Monsieur Anthony HUGUENIN, juges assesseur(e)s; Madame Christel HENZELIN, greffière.</w:t>
      </w:r>
    </w:p>
    <w:p>
      <w:r>
        <w:t>La présidente :</w:t>
      </w:r>
    </w:p>
    <w:p>
      <w:r>
        <w:t>Verena PEDRAZZINI RIZZI</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