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DCSO/19/2023 vom 19. Januar 2023</w:t>
      </w:r>
    </w:p>
    <w:p>
      <w:r>
        <w:t>GE Cour de justice, 2023-01-19, FR</w:t>
      </w:r>
    </w:p>
    <w:p>
      <w:r>
        <w:rPr>
          <w:b/>
        </w:rPr>
        <w:t xml:space="preserve">Quelle: </w:t>
      </w:r>
      <w:r>
        <w:t>https://mcp.opencaselaw.ch/entscheid/ge_gerichte_DCSO_19_2023</w:t>
      </w:r>
    </w:p>
    <w:p>
      <w:r>
        <w:t>FR: GE_GERICHTE DCSO/19/2023 du 19 janvier 2023</w:t>
      </w:r>
    </w:p>
    <w:p>
      <w:r>
        <w:t>IT: GE_GERICHTE DCSO/19/2023 del 19 gennaio 2023</w:t>
      </w:r>
    </w:p>
    <w:p>
      <w:pPr>
        <w:pStyle w:val="Heading2"/>
      </w:pPr>
      <w:r>
        <w:t>Regeste</w:t>
      </w:r>
    </w:p>
    <w:p>
      <w:r>
        <w:t>Résumé: Nullité de la continuation de la poursuite par voie de saisie à un for inexistant.</w:t>
      </w:r>
    </w:p>
    <w:p>
      <w:pPr>
        <w:pStyle w:val="Heading2"/>
      </w:pPr>
      <w:r>
        <w:t>Erwägungen</w:t>
      </w:r>
    </w:p>
    <w:p>
      <w:r>
        <w:rPr>
          <w:b/>
        </w:rPr>
        <w:t>E. 1</w:t>
      </w:r>
    </w:p>
    <w:p>
      <w:r>
        <w:t>Le litige porte en l'espèce sur la compétence à raison du lieu de l'Office pour exécuter la saisie. Comme exposé ci-dessous (consid. 2.1.1), l'absence de cette compétence conduirait, dès lors qu'il existait des biens saisissables au moment de l'exécution de la saisie, à la nullité au sens de l'art. 22 LP de la continuation par la voie de la saisie des poursuites participant à la saisie litigieuse. Cette nullité devrait être constatée par la Chambre de céans indépendamment de l'existence d'une plainte recevable (art. 22 al. 1 LP, deuxième phrase).</w:t>
      </w:r>
    </w:p>
    <w:p>
      <w:r>
        <w:t>Il est donc superflu de statuer sur la question de la recevabilité de la plainte déposée le 21 novembre 2022.</w:t>
      </w:r>
    </w:p>
    <w:p>
      <w:r>
        <w:rPr>
          <w:b/>
        </w:rPr>
        <w:t>E. 2</w:t>
      </w:r>
    </w:p>
    <w:p>
      <w:r>
        <w:t>2.1.1 Les règles régissant le for de la poursuite sont impératives. Les sanctions attachées à leur violation sont cependant différentes selon qu'il s'agit de la notification du commandement de payer dans la poursuite ordinaire ou de la continuation de la poursuite par voie de saisie. La notification du commandement de payer par un office des poursuites incompétent à raison du lieu n'entraîne ainsi que l'annulabilité, sur plainte de cet acte : dans cette hypothèse en effet, il n'y a pas de lésion de l'intérêt public ou de l'intérêt de tiers au sens de l'art. 22 al. 1 LP. En revanche, la continuation de la poursuite par un office des poursuites</w:t>
      </w:r>
    </w:p>
    <w:p>
      <w:r>
        <w:t>- 5/7 -</w:t>
      </w:r>
    </w:p>
    <w:p>
      <w:r>
        <w:t>A/3854/2022-CS incompétent à raison du lieu entraîne, à moins qu'il n'existe aucun bien saisissable, la nullité des avis de saisie et des opérations ultérieures : dans ce cas en effet, la violation des règles sur le for de la poursuite lèse les intérêts des créanciers qui pourraient, le cas échéant, participer à la saisie (arrêt du Tribunal fédéral 5A_539/2022 du 13 septembre 2022 consid. 3.1 et références citées).</w:t>
      </w:r>
    </w:p>
    <w:p>
      <w:r>
        <w:t>2.1.2 Sous réserve des fors spéciaux prévus par les art. 48 à 52 LP, le for de la poursuite est au domicile du débiteur (art. 46 LP).</w:t>
      </w:r>
    </w:p>
    <w:p>
      <w:r>
        <w:t>La notion de domicile au sens de l'art. 46 LP correspond à celle de l'art. 23 al. 1 CC. Il s'agit du lieu où l'intéressé réside avec l'intention de s'établir, ce qui suppose qu'il fasse de ce lieu le centre de ses intérêts personnels et professionnels (ATF 125 III 100 consid. 3; 120 III 7 consid. 2a). La notion de domicile comporte deux éléments: l'un objectif, la présence physique dans un endroit donné; l'autre subjectif, l'intention d'y demeurer de façon durable (ATF 141 V 530 consid. 5.2; 137 II 122 consid. 3.6; 136 II 405 consid. 4.3). La loi n'exige pas qu'une personne ait l'intention de demeurer pour toujours dans un certain endroit; il suffit qu'elle fasse de ce lieu le centre de son existence, quand bien même elle voudrait transférer plus tard son domicile ailleurs (arrêts 5A_419/2020 du 16 avril 2021 consid. 3.2.2; 5A_725/2010 du 12 mai 2011 consid. 2.3). Lorsque plusieurs endroits entrent en ligne de compte, parce que la personne a des attaches avec chacun d'eux, le principe de l'unité du domicile (art. 23 al. 2 CC et 20 al. 2 B______) impose un choix; le domicile se trouve au lieu avec lequel l'intéressé entretient les relations les plus étroites, cette question étant résolue sur la base de l'ensemble des circonstances (ATF 136 II 405 consid. 4.3; arrêt 5A_653/2020 du 2 février 2022 consid. 3.3).</w:t>
      </w:r>
    </w:p>
    <w:p>
      <w:r>
        <w:t>Si, dans le cadre d'une poursuite ordinaire devant être continuée par voie de saisie, le débiteur change de domicile après l'avis de saisie prévu par l'art. 90 LP, la poursuite se continue à l'ancien domicile (art. 53 LP).</w:t>
      </w:r>
    </w:p>
    <w:p>
      <w:r>
        <w:t>2.2.1 Dans le cas d'espèce, l'office des poursuites du canton de Neuchâtel, invité le 1er septembre 2021 à continuer la poursuite n° 3______ engagée contre le plaignant et tenu d'examiner une nouvelle fois sa compétence (arrêt du Tribunal fédéral 5A_539/2022 précité consid. 3.2), a considéré que celle-ci demeurait acquise en raison du domicile du plaignant dans ce canton et lui a donc adressé, entre les 1er et 7 septembre 2021, un avis de saisie. Sa décision relative à sa compétence a été confirmée par les autorités de surveillance cantonales inférieure et supérieure et, en dernier lieu, par le Tribunal fédéral : elle s'impose donc à l'Office et à la Chambre de céans, sous peine de violer le principe de l'unité du domicile.</w:t>
      </w:r>
    </w:p>
    <w:p>
      <w:r>
        <w:t>Reste à examiner s'il ressort du dossier que, entre l'avis de saisie communiqué au début du mois de septembre 2021 au plaignant dans la poursuite n° 3______ et les avis de saisie adressés au plaignant par l'Office les 29 septembre et 21 octobre</w:t>
      </w:r>
    </w:p>
    <w:p>
      <w:r>
        <w:t>- 6/7 -</w:t>
      </w:r>
    </w:p>
    <w:p>
      <w:r>
        <w:t>A/3854/2022-CS 2021, celui-ci aurait déplacé son domicile du canton de Neuchâtel dans celui de Genève.</w:t>
      </w:r>
    </w:p>
    <w:p>
      <w:r>
        <w:t>Tel n'est pas le cas. Aucun élément du dossier ne permet au contraire de penser que la situation de fait se serait modifiées entre le début du mois de septembre 2021 et la fin du même mois, voire la fin du mois d'octobre 2021. Les éléments invoqués par l'Office à l'appui de l'existence d'un domicile genevois à la date des avis de saisie (contenu des registres de l'OCPM, domiciliation officielle du débiteur à Genève et conséquences en matière administrative et fiscale, allégations et comportement du débiteur lui-même et admission de sa compétence par le Tribunal de protection de l'adulte et de l'enfant dans le cadre de sa décision du 9 mars 2022) sont en effet soit préexistants au mois de novembre 2021, et ont été pris en compte par les autorités de surveillance neuchâteloises et le Tribunal fédéral, soit postérieurs aux avis de saisie, et ne permettent donc de tirer aucune conclusion sur la situation existant à ce moment.</w:t>
      </w:r>
    </w:p>
    <w:p>
      <w:r>
        <w:t>Il faut ainsi retenir que, lors de la communication au plaignant des avis de saisie des 29 septembre et 21 octobre 2021, le plaignant était toujours domicilié dans le canton de Neuchâtel. L'Office n'était donc pas compétent à raison du lieu pour continuer la poursuite. Il en résulte, conformément aux principes rappelés ci- dessus (consid. 2.1.1), que lesdits avis de saisie sont atteints de nullité au sens de l'art. 22 al. 1 LP, de même que les actes de poursuite postérieurs, en particulier l'exécution de la saisie et le procès-verbal de saisie, ce qui sera constaté.</w:t>
      </w:r>
    </w:p>
    <w:p>
      <w:r>
        <w:t>2.2.2 Il n'y a en revanche pas lieu, contrairement à ce qu'aurait souhaité le plaignant, de constater de manière générale la nullité des actes de poursuite intervenus depuis une certaine date, devant selon lui être arrêtée au 7 octobre 2020. Comme exposé ci-dessus, en effet, l'incompétence à raison du lieu de l'Office n'entraîne la nullité que de la continuation des poursuites concernées, soit de celles ayant participé à la saisie litigieuse. Les actes de poursuite accomplis dans ces poursuites antérieurement à la continuation de la poursuite n'étaient pour leur part qu'annulables sur plainte, et leur nullité ne saurait donc être constatée.</w:t>
      </w:r>
    </w:p>
    <w:p>
      <w:r>
        <w:rPr>
          <w:b/>
        </w:rPr>
        <w:t>E. 3</w:t>
      </w:r>
    </w:p>
    <w:p>
      <w:r>
        <w:t>La procédure de plainte est gratuite (art. 20a al. 2 ch. 5 LP et art. 61 al. 2 let. a OELP) et il ne peut être alloué aucuns dépens dans cette procédure (art. 62 al. 2 OELP). * * * * *</w:t>
      </w:r>
    </w:p>
    <w:p>
      <w:r>
        <w:t>- 7/7 -</w:t>
      </w:r>
    </w:p>
    <w:p>
      <w:r>
        <w:t>A/3854/2022-CS PAR CES MOTIFS, La Chambre de surveillance : Au fond : Constate la nullité des avis de saisie expédiés les 29 septembre et 21 octobre 2021 par l'Office cantonal des poursuites dans les poursuites n° 4______, 5______, 6______, 7______, 8______ et 9______ ainsi que des actes de poursuite exécutés postérieurement, soit notamment la saisie, série n° 10______, le procès-verbal de saisie du 10 juin 2022, les avis de participation à la saisie et les avis aux tiers débiteurs. Invite l'Office cantonal des poursuites à restituer à A______, sans frais pour lui, les valeurs éventuellement saisies. Siégeant : Monsieur Patrick CHENAUX, président; Madame Ekaterine BLINOVA et Monsieur Denis KELLER,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