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DCSO/197/2022 vom 20. April 2020</w:t>
      </w:r>
    </w:p>
    <w:p>
      <w:r>
        <w:t>GE Cour de justice, 2020-04-20, FR</w:t>
      </w:r>
    </w:p>
    <w:p>
      <w:r>
        <w:rPr>
          <w:b/>
        </w:rPr>
        <w:t xml:space="preserve">Quelle: </w:t>
      </w:r>
      <w:r>
        <w:t>https://mcp.opencaselaw.ch/entscheid/ge_gerichte_DCSO_197_2022</w:t>
      </w:r>
    </w:p>
    <w:p>
      <w:r>
        <w:t>FR: GE_GERICHTE DCSO/197/2022 du 20 avril 2020</w:t>
      </w:r>
    </w:p>
    <w:p>
      <w:r>
        <w:t>IT: GE_GERICHTE DCSO/197/2022 del 20 aprile 2020</w:t>
      </w:r>
    </w:p>
    <w:p>
      <w:pPr>
        <w:pStyle w:val="Heading2"/>
      </w:pPr>
      <w:r>
        <w:t>Erwägungen</w:t>
      </w:r>
    </w:p>
    <w:p>
      <w:r>
        <w:rPr>
          <w:b/>
        </w:rPr>
        <w:t>E. 31</w:t>
      </w:r>
    </w:p>
    <w:p>
      <w:r>
        <w:t>mars 2022 pour y procéder, sous n° de poursuite 1______. Que par acte expédié le 22 mars 2022 au greffe de la Chambre de surveillances des Offices des poursuites et faillites (ci-après la Chambre de surveillance), A______ a formé une plainte contre cet avis de saisie, concluant à son annulation et à ce que la réquisition de continuer la poursuite de l'AFC soit déclarée irrecevable. Qu'invité par la Chambre de surveillance à se prononcer sur cette plainte, l'Office a rendu, le 22 avril 2022, en application de l'art. 17 al. 4 LP, une nouvelle décision par laquelle il annulait l'avis de saisie et déclarait irrecevable la réquisition de continuer la poursuite de l'AFC, considérant que la reprise d'une nouvelle poursuite sans notification préalable d'un commandement de payer n'était pas possible sur la base d'un acte de défaut de biens après saisie, délivré à l'issue d'une poursuite fondée sur un acte de défaut de biens émis suite à une faillite. Que par courrier adressé le 25 avril 2022 à la Chambre de surveillance, A______ a considéré que sa plainte n'avait plus d'objet vu la nouvelle décision rendue par l'Office, qu'il la retirait et requérait l'allocation de dépens à hauteur des honoraires de son conseil en 1'669 fr. 35 TTC.</w:t>
      </w:r>
    </w:p>
    <w:p>
      <w:r>
        <w:t>- 3/4 -</w:t>
      </w:r>
    </w:p>
    <w:p>
      <w:r>
        <w:t>A/925/2022-CS Considérant, EN DROIT, qu'en application de l'art. 17 al. 4 LP, en cas de plainte, l'Office peut, jusqu'à l'envoi de sa réponse, procéder à un nouvel examen de la décision attaquée. Que s'il prend une nouvelle mesure, il la notifie sans délai aux parties et en donne connaissance à l'autorité de surveillance. Que si le plaignant a obtenu le plein des conclusions formulées dans la plainte par la nouvelle décision de l'Office, l'autorité de surveillance déclarera la plainte sans objet. Que si tel n'est pas le cas, l'autorité de surveillance reste saisie dans la mesure où le plaignant n'a pas obtenu satisfaction par la nouvelle décision de l'Office (ATF 126 III 85, SJ 2000 I 449; ERARD, Commentaire Romand, Poursuite et faillite, 2005, n° 60, 61, 64 à 66 ad art. 17 LP). Qu'en l'espèce, la nouvelle décision de l'Office correspond à l'octroi du plein des conclusions du plaignant, de sorte que la plainte est devenue sans objet. Que la procédure de plainte est gratuite (art. 20a al. 2 ch. 5 LP; art. 61 al. 2 let. a OELP) et ne donne pas lieu à l'allocation de dépens (art. 62 al. 2 OELP). Que les conclusions en allocation de dépens du plaignant seront rejetées.</w:t>
      </w:r>
    </w:p>
    <w:p>
      <w:r>
        <w:t>* * * * *</w:t>
      </w:r>
    </w:p>
    <w:p>
      <w:r>
        <w:t>- 4/4 -</w:t>
      </w:r>
    </w:p>
    <w:p>
      <w:r>
        <w:t>A/925/2022-CS PAR CES MOTIFS, La Chambre de surveillance :</w:t>
      </w:r>
    </w:p>
    <w:p>
      <w:r>
        <w:t>Constate que la plainte est devenue sans objet. Déboute les parties de toute autres conclusions. Siégeant : Monsieur Jean REYMOND, président; Madame Ekaterine BLINOVA et Monsieur Mathieu HOWALD,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