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DCSO/194/2017 vom 6. April 2017</w:t>
      </w:r>
    </w:p>
    <w:p>
      <w:r>
        <w:t>GE Cour de justice, 2017-04-06, FR</w:t>
      </w:r>
    </w:p>
    <w:p>
      <w:r>
        <w:rPr>
          <w:b/>
        </w:rPr>
        <w:t xml:space="preserve">Quelle: </w:t>
      </w:r>
      <w:r>
        <w:t>https://mcp.opencaselaw.ch/entscheid/ge_gerichte_DCSO_194_2017</w:t>
      </w:r>
    </w:p>
    <w:p>
      <w:r>
        <w:t>FR: GE_GERICHTE DCSO/194/2017 du 6 avril 2017</w:t>
      </w:r>
    </w:p>
    <w:p>
      <w:r>
        <w:t>IT: GE_GERICHTE DCSO/194/2017 del 6 aprile 2017</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plaignant a déposé sa plainte le 12 octobre 2016 contre des avis de saisies qui lui ont été communiqués le 16 septembre 2016, soit plus de dix jours après en avoir eu connaissance. Il ne fait pas valoir que ces avis de saisies seraient nuls, ni que l’Office aurait violé la loi en les lui faisant notifier. Il indique uniquement ne pas savoir à quoi se rapportent les poursuites n° 15 xxxx26 Y et n° 16 xxxx72 G. Par conséquent, la plainte formée le 12 octobre 2016 est tardive et, partant, irrecevable. Pour le surplus, le plaignant, qui ne conteste pas s’être vu notifier les commandements de payer n° 15 xxxx26 Y et n° 16 xxxx72 G, ne saurait plaider de bonne foi ne pas comprendre quelles créances sont concernées par les avis de saisies dès lors que la première créance a fait l’objet d’un jugement et que la seconde est relative à des arriérés de primes d’assurance-maladie, ce qui était indiqué sur le commandement de payer y relatif. Dès lors, même recevable, la plainte aurait été infondée. 2. La procédure de plainte est gratuite (art. 20a al. 2 ch. 5 LP et art. 61 al. 2 let. a OELP). * * * * *</w:t>
      </w:r>
    </w:p>
    <w:p>
      <w:r>
        <w:t>- 4/4 -</w:t>
      </w:r>
    </w:p>
    <w:p>
      <w:r>
        <w:t>A/3456/2016-CS PAR CES MOTIFS, La Chambre de surveillance : A la forme : Déclare irrecevable la plainte formée par A______ contre les avis de saisies que lui a notifiés l’Office des poursuites le 16 septembre 2016 dans les poursuites n° 15 xxxx26 Y et n° 16 xxxx72 G. Siégeant : M. Patrick CHENAUX, président; Monsieur Georges ZUFFEREY et Monsieur Christian CHAVAZ,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