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DCSO/194/2012 vom 14. Mai 2012</w:t>
      </w:r>
    </w:p>
    <w:p>
      <w:r>
        <w:t>GE Cour de justice, 2012-05-14, FR</w:t>
      </w:r>
    </w:p>
    <w:p>
      <w:r>
        <w:rPr>
          <w:b/>
        </w:rPr>
        <w:t xml:space="preserve">Quelle: </w:t>
      </w:r>
      <w:r>
        <w:t>https://mcp.opencaselaw.ch/entscheid/ge_gerichte_DCSO_194_2012</w:t>
      </w:r>
    </w:p>
    <w:p>
      <w:r>
        <w:t>FR: GE_GERICHTE DCSO/194/2012 du 14 mai 2012</w:t>
      </w:r>
    </w:p>
    <w:p>
      <w:r>
        <w:t>IT: GE_GERICHTE DCSO/194/2012 del 14 maggio 2012</w:t>
      </w:r>
    </w:p>
    <w:p>
      <w:pPr>
        <w:pStyle w:val="Heading2"/>
      </w:pPr>
      <w:r>
        <w:t>Regeste</w:t>
      </w:r>
    </w:p>
    <w:p>
      <w:r>
        <w:t>Résumé: Les plaintes contre la mesure de sûretés (mise sous scellés) et contre la décision de nomination de gardien d'actifs sont devenues sans objet. Les conclusions de la plaignante relatives à la poursuite d'un contrat de bail sont du ressort du Tribunal des baux et loyers.</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mesure de sûretés prise par l'Office le 22 février 2012 (cf. art. 221 al. 1 LP) et sa décision du 5 mars 2012 de restituer les clés des locaux et de nommer l'administrateur de la plaignante gardien d'actifs constituent des mesures sujettes à plainte que la précitée, en qualité de destinataire de celles-ci, a qualité pour contester par cette voie.</w:t>
      </w:r>
    </w:p>
    <w:p>
      <w:r>
        <w:t>La plaignante a, par ailleurs, agi en temps utile et dans les formes prescrites (art. 9al. 1 et 4 LaLP).</w:t>
      </w:r>
    </w:p>
    <w:p>
      <w:r>
        <w:rPr>
          <w:b/>
        </w:rPr>
        <w:t>E. 1.3</w:t>
      </w:r>
    </w:p>
    <w:p>
      <w:r>
        <w:t>En tant que la plaignante conclut à l'annulation des décisions entreprises, les plaintes seront dès lors déclarées recevables.</w:t>
      </w:r>
    </w:p>
    <w:p>
      <w:r>
        <w:rPr>
          <w:b/>
        </w:rPr>
        <w:t>E. 2.1</w:t>
      </w:r>
    </w:p>
    <w:p>
      <w:r>
        <w:t>La loi prescrit à l'office, dès qu'il a reçu communication de l'ouverture de la faillite, de procéder à l'inventaire des biens du failli et de prendre les mesures nécessaires pour leur conservation (art. 221 LP). Font partie de ces mesures, destinées à assurer le maintien de la masse et à éviter sa diminution, les mesures de sûreté énumérées à l'art. 223 LP (P.-R. GILLIERON, Commentaire de la loi fédérale sur la poursuite pour dettes et la faillite, n. 6 ad art. 223 LP), en particulier la mise sous scellés des locaux et des dépendances, ainsi que le placement des meubles et des valeurs sous la garde de l'office (François VOUILLOZ, Commentaire romand de la LP, n. 1 ad art. 223 LP). Les locaux commerciaux doivent être immédiatement fermés et mis sous scellés, à moins que l'entreprise ne puisse être administrée sous contrôle de l'office, ce qui est le cas, par exemple, s'il existe une perspective de transmettre l'ensemble de l'entreprise du failli. Si les locaux ont seulement été remis à bail au failli et que l'administration de la faillite ne reprendra probablement pas le contrat, l'office a la faculté de faire évacuer les locaux et de prendre les objets s'y trouvant pour les placer sous sa garde (VOUILLOZ, loc. cit., n. 3 s. ad art. 223 LP; arrêt du Tribunal fédéral 7B.217/2006 du 12 avril 2006 consid. 3.2).</w:t>
      </w:r>
    </w:p>
    <w:p>
      <w:r>
        <w:rPr>
          <w:b/>
        </w:rPr>
        <w:t>E. 2.2</w:t>
      </w:r>
    </w:p>
    <w:p>
      <w:r>
        <w:t>En l'espèce, il ressort de l'instruction de la cause que l'Office n'a pas donné suite à la demande de sûretés de la bailleresse, qui a donc résilié le bail avec effet au 20 février 2012, conformément à l'art. 266h al. 2 CO; le bail avait toutefois déjà été résilié pour le 31 mars 2010 (cf. consid. A.d).</w:t>
      </w:r>
    </w:p>
    <w:p>
      <w:r>
        <w:t>- 6/7 -</w:t>
      </w:r>
    </w:p>
    <w:p>
      <w:r>
        <w:t>A/686/2012-CS</w:t>
      </w:r>
    </w:p>
    <w:p>
      <w:r>
        <w:rPr>
          <w:b/>
        </w:rPr>
        <w:t>E. 2.2.1</w:t>
      </w:r>
    </w:p>
    <w:p>
      <w:r>
        <w:t>Le 22 février 2012, l'Office a procédé à la fermeture de l'arcade considérée; par décision du 5 mars 2012, il a remis les clés à l'administrateur de la plaignante et l'a désigné en qualité de gardien d'actifs afin qu'il puisse prendre les mesures nécessaires à la conservation des actifs revendiqués.</w:t>
      </w:r>
    </w:p>
    <w:p>
      <w:r>
        <w:t>En tant qu'elle vise l'annulation de la mesure de sûretés, la plainte du 2 mars 2012 est donc devenue sans objet.</w:t>
      </w:r>
    </w:p>
    <w:p>
      <w:r>
        <w:rPr>
          <w:b/>
        </w:rPr>
        <w:t>E. 2.2.2</w:t>
      </w:r>
    </w:p>
    <w:p>
      <w:r>
        <w:t>L'administrateur de la plaignante ayant toutefois poursuivi l'exploitation du bar, l'Office a, par décision du 12 avril 2012, mis fin à sa nomination de gardien d'actifs.</w:t>
      </w:r>
    </w:p>
    <w:p>
      <w:r>
        <w:t>En tant qu'elle vise l'annulation de la décision du 5 mars 2012, la plainte du</w:t>
      </w:r>
    </w:p>
    <w:p>
      <w:r>
        <w:rPr>
          <w:b/>
        </w:rPr>
        <w:t>E. 6</w:t>
      </w:r>
    </w:p>
    <w:p>
      <w:r>
        <w:t>mars 2012 est donc également devenue sans objet. 3. 3.1 Par décision du 12 avril 2012, l'Office a imparti un délai au 16 suivant à la plaignante pour lui restituer les clés.</w:t>
      </w:r>
    </w:p>
    <w:p>
      <w:r>
        <w:t>Cette décision n'a pas été contestée par la voie de la plainte mais par le biais d'une requête en mesures provisionnelles, formée auprès du Tribunal des baux et loyers et dirigée contre la masse en faillite, tendant à ce qu'il lui soit fait interdiction de prendre possession, de quelque façon que ce soit, de l'arcade (…) et lui faire interdiction d'en transférer la possession de quelques façons que ce soit à qui que ce soit.</w:t>
      </w:r>
    </w:p>
    <w:p>
      <w:r>
        <w:t>3.2 La plaignante et le failli étant liés par un contrat de bail à ferme non agricole (LACHAT, Le bail à loyer, Lausanne, 2008, p. 84), tout litige en découlant relève, en effet, de la compétence du Tribunal des baux et loyers (art. 33 et 261 et ss CPC; art. 89 al. 1 let. 1 LOJ).</w:t>
      </w:r>
    </w:p>
    <w:p>
      <w:r>
        <w:t>3.3 Les conclusions prises par la plaignante dans ses plaintes des 2 et 6 mars 2012 sont dès lors irrecevables. 4. Les plaintes seront en conséquence rejetées, dans la mesure de leur recevabilité et de leur objet.</w:t>
      </w:r>
    </w:p>
    <w:p>
      <w:r>
        <w:t>* * * * *</w:t>
      </w:r>
    </w:p>
    <w:p>
      <w:r>
        <w:t>- 7/7 -</w:t>
      </w:r>
    </w:p>
    <w:p>
      <w:r>
        <w:t>A/686/2012-CS PAR CES MOTIFS, La Chambre de surveillance : Rejette, dans la mesure de leur recevabilité et leur objet, les plaintes formées par D_______ SA contre les décisions prises par l'Office des faillites les 22 février et 5 mars 2012 dans le cadre de la faillite de M. S______.</w:t>
      </w:r>
    </w:p>
    <w:p>
      <w:r>
        <w:t>Siégeant : Madame Ariane WEYENETH, présidente; Monsieur Philipp GANZONI et Monsieur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