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DCSO/194/2010 vom 15. April 2010</w:t>
      </w:r>
    </w:p>
    <w:p>
      <w:r>
        <w:t>GE Cour de justice, 2010-04-15, FR</w:t>
      </w:r>
    </w:p>
    <w:p>
      <w:r>
        <w:rPr>
          <w:b/>
        </w:rPr>
        <w:t xml:space="preserve">Quelle: </w:t>
      </w:r>
      <w:r>
        <w:t>https://mcp.opencaselaw.ch/entscheid/ge_gerichte_DCSO_194_2010</w:t>
      </w:r>
    </w:p>
    <w:p>
      <w:r>
        <w:t>FR: GE_GERICHTE DCSO/194/2010 du 15 avril 2010</w:t>
      </w:r>
    </w:p>
    <w:p>
      <w:r>
        <w:t>IT: GE_GERICHTE DCSO/194/2010 del 15 aprile 2010</w:t>
      </w:r>
    </w:p>
    <w:p>
      <w:pPr>
        <w:pStyle w:val="Heading2"/>
      </w:pPr>
      <w:r>
        <w:t>Regeste</w:t>
      </w:r>
    </w:p>
    <w:p>
      <w:r>
        <w:t>Résumé: Plainte rejetée. Rappel de jurisprudence en matière de for de la poursuite. Il est démontré que la débitrice ne vit plus à Genève. Une élection de domicile en l'Etude d'un avocat genevois pour une procédure matrimoniale n'entraîne pas élection de for pour la poursuite.</w:t>
      </w:r>
    </w:p>
    <w:p>
      <w:pPr>
        <w:pStyle w:val="Heading2"/>
      </w:pPr>
      <w:r>
        <w:t>Erwägungen</w:t>
      </w:r>
    </w:p>
    <w:p>
      <w:r>
        <w:rPr>
          <w:b/>
        </w:rPr>
        <w:t>E. 3</w:t>
      </w:r>
    </w:p>
    <w:p>
      <w:r>
        <w:t>M. S______ soutient que sa débitrice aurait à tout le moins fait une élection de for en l'Etude de son avocat.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245 ss ; Pierre-Robert Gilliéron, Commentaire, ad art. 50 n° 40 ; Ernest F. Schmid, SchKG I, ad art.50 n° 32). La constitution d'un for spécial de poursuite ne se présume pas et la preuve stricte doit en être apportée. En particulier, la création d’un tel for ne résulte pas de l’élection d’un domicile aux fins de notification des actes de poursuites, ni implicitement d’une convention qui renferme une clause attributive de juridiction car l’élection de domicile juridique ou le fait de s’engager dans un procès ne constitue pas sans autre le for de poursuite spécial prévu à l’art. 50 al. 2 LP. Le seul fait qu'un débiteur s'engage à payer une dette ne constitue pas une élection de domicile créant un for de poursuite en Suisse (Pierre-Robert Gilliéron, op.cit, ad art. 50 al. 2 n° 44 ss ; SJ 2000 II 207-208). L'élection doit se rapporter à une ou des obligations spécifiées envers un créancier déterminé. Elle est une manifestation de volonté qui s'interprète selon les règles de la bonne foi (Henri-Robert Schüpbach, CR-LP ad art. 50 n° 16 ; BlSchK 2005 232). La simple convention quant au lieu d'exécution ou de paiement (cf. art. 74 CO) n'implique pas élection de for d'exécution forcée, sauf en ce qui concerne les lettres de change ou les titres au porteur (ATF non publié du 21 septembre 2006 7B.55/2006 et les réf. citées ; ATF 119 III 54 consid. 2f, JdT 1995 II 118 ; ATF 89 III 1). L'élection d'un for judiciaire et celle d'un domicile de notification ne génèrent pas un for de poursuite (CR-LP ad art. 50 al. 2, n° 11). En l'espèce, le plaignant n'apporte aucune preuve stricte que sa débitrice aurait convenu d'une élection de for de la poursuite (art. 50 al. 2 LP) tant et si bien que ce grief sera également rejeté.</w:t>
      </w:r>
    </w:p>
    <w:p>
      <w:r>
        <w:t>La plainte de M. S______ sera ainsi rejetée.</w:t>
      </w:r>
    </w:p>
    <w:p>
      <w:r>
        <w:rPr>
          <w:b/>
        </w:rPr>
        <w:t>E. 4</w:t>
      </w:r>
    </w:p>
    <w:p>
      <w:r>
        <w:t>Conformément aux art. 20a al. 2 ch. 5 LP, 61 al. 2 let. a et 62 al. 2 OELP, il n'y a pas lieu de percevoir d'émolument de justice, ni d'allouer des dépens.</w:t>
      </w:r>
    </w:p>
    <w:p>
      <w:r>
        <w:t>* * * * *</w:t>
      </w:r>
    </w:p>
    <w:p>
      <w:r>
        <w:t>- 9 -</w:t>
      </w:r>
    </w:p>
    <w:p>
      <w:r>
        <w:t>P A R C E S M O T I F S , L A C O M M I S S I O N D E S U R V E I L L A N C E S I É G E A N T E N S E C T I O N : A la forme : Déclare recevable la plainte formée le 16 décembre 2009 par Mme R______ contre le commandement de payer qui lui a été notifié le 7 décembre 2009 dans le cadre de la poursuite n° 09 xxxx88 F. Déclare recevable la plainte formée par M. S______ contre la décision de l'Office des poursuite du 13 janvier 2010, dans le cadre de la poursuite n° 09 xxxx88 F. Joint les causes A/4531/2009 et A/274/2010 en une seule procédure n° A/4531/2009. Au fond : 1. Constate que la plainte de Mme R______ est devenue sans objet en cours de procédure. 2. Rejette la plainte de M. S______. 3.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