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DCSO/193/2025 vom 10. April 2025</w:t>
      </w:r>
    </w:p>
    <w:p>
      <w:r>
        <w:t>GE Cour de justice, 2025-04-10, FR</w:t>
      </w:r>
    </w:p>
    <w:p>
      <w:r>
        <w:rPr>
          <w:b/>
        </w:rPr>
        <w:t xml:space="preserve">Quelle: </w:t>
      </w:r>
      <w:r>
        <w:t>https://mcp.opencaselaw.ch/entscheid/ge_gerichte_DCSO_193_2025</w:t>
      </w:r>
    </w:p>
    <w:p>
      <w:r>
        <w:t>FR: GE_GERICHTE DCSO/193/2025 du 10 avril 2025</w:t>
      </w:r>
    </w:p>
    <w:p>
      <w:r>
        <w:t>IT: GE_GERICHTE DCSO/193/2025 del 10 aprile 2025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sûreté prise par l'Office au sens de l'art. 99 LP, sujette à plainte.</w:t>
      </w:r>
    </w:p>
    <w:p>
      <w:r>
        <w:rPr>
          <w:b/>
        </w:rPr>
        <w:t>E. 2</w:t>
      </w:r>
    </w:p>
    <w:p>
      <w:r>
        <w:t>Le plaignant sollicite l'annulation de la saisie conservatoire de ses indemnités de perte de gain, reprochant à l'Office d'avoir porté atteinte au minimum vital de sa famille.</w:t>
      </w:r>
    </w:p>
    <w:p>
      <w:r>
        <w:rPr>
          <w:b/>
        </w:rPr>
        <w:t>E. 2.1</w:t>
      </w:r>
    </w:p>
    <w:p>
      <w:r>
        <w:t>Selon l'art. 93 al. 1 LP, les revenus relativement saisissables tels que, notamment, les revenus du travail et les prestations de toutes sortes destinées à couvrir une perte de gain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NI- 2018) ou encore les primes d'assurance-maladie obligatoire (art. II.3 NI-2018) doivent être ajoutées à cette base mensuelle d'entretien, pour autant qu'elles soient effectivement et régulièrement payées (OCHSNER, in CR-LP, n. 82 et n° 83 ad art. 93 LP).</w:t>
      </w:r>
    </w:p>
    <w:p>
      <w:r>
        <w:t>- 5/7 -</w:t>
      </w:r>
    </w:p>
    <w:p>
      <w:r>
        <w:t>A/4227/2024-CS</w:t>
      </w:r>
    </w:p>
    <w:p>
      <w:r>
        <w:t>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 consid. 3; arrêts du Tribunal fédéral 6B_390/2011 du 6 octobre 2011 consid. 3 et 7B.240/2001 du 18 décembre 2001; DCSO/13/2023 du 19 janvier 2023 consid. 2.1.2 et les références).</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(ATF 119 III 70 consid. 1; VONDER MÜHLL, in BSK SchKG I, N 65 ad art. 93 LP).</w:t>
      </w:r>
    </w:p>
    <w:p>
      <w:r>
        <w:rPr>
          <w:b/>
        </w:rPr>
        <w:t>E. 2.2</w:t>
      </w:r>
    </w:p>
    <w:p>
      <w:r>
        <w:t>En l'espèce, l'Office a, en date du 10 décembre 2024, procédé à une saisie conservatoire des indemnités perte de gain du plaignant à hauteur de tout montant dépassant 1'200 fr. par mois.</w:t>
      </w:r>
    </w:p>
    <w:p>
      <w:r>
        <w:t>Il est vrai que le plaignant ne s'est pas présenté à l'Office lorsqu'il a été convoqué pour le 18 octobre 2024, puis pour le 30 octobre 2024 en vue de réévaluer sa situation patrimoniale.</w:t>
      </w:r>
    </w:p>
    <w:p>
      <w:r>
        <w:t>Si l'Office pratique couramment le fait de ne retenir que le montant de base d'entretien mensuel dans le minimum vital des débiteurs qui ne collaborent pas à ses investigations, faute de connaître le montant des autres charges composant le minimum vital, cette manière de procéder n'est pas admissible dans le cas d'espèce, dans la mesure où l'Office avait connaissance des éléments constituant le minimum vital du plaignant au regard du procès-verbal de saisie qu'il avait établi le 3 juin 2024 après avoir entendu le plaignant le 8 mars 2024. L'Office avait alors retenu que le minimum vital du plaignant et de sa famille s'élevait à 8'755 fr. en juin 2024, de sorte qu'en procédant à la saisie conservatoire des indemnités de perte de gain pour tout montant supérieur à 1'200 fr. par mois en décembre 2024, l'Office a ainsi manifestement porté atteinte au minimum vital du plaignant et de sa famille</w:t>
      </w:r>
    </w:p>
    <w:p>
      <w:r>
        <w:t>La plainte sera en conséquence partiellement admise et la saisie conservatoire limitée à toute somme dépassant 8'755 fr. par mois.</w:t>
      </w:r>
    </w:p>
    <w:p>
      <w:r>
        <w:t>Elle sera rejetée pour le surplus, étant ici relevé que le grief tiré d'une violation du droit d'être entendu soulevé par le plaignant à titre subsidiaire n'est pas fondé,</w:t>
      </w:r>
    </w:p>
    <w:p>
      <w:r>
        <w:t>- 6/7 -</w:t>
      </w:r>
    </w:p>
    <w:p>
      <w:r>
        <w:t>A/4227/2024-CS puisque l'Office lui a donné l'occasion de s'exprimer en le convoquant à deux reprises en vue de réactualiser sa situation financière.</w:t>
      </w:r>
    </w:p>
    <w:p>
      <w:r>
        <w:rPr>
          <w:b/>
        </w:rPr>
        <w:t>E. 3</w:t>
      </w:r>
    </w:p>
    <w:p>
      <w:r>
        <w:t>La procédure de plainte est gratuite (art. 20a al. 2 ch. 5 LP; art. 61 al. 2 lit. a OELP) et il n'est pas alloué de dépens (art. 62 al. 2 OELP). * * * * *</w:t>
      </w:r>
    </w:p>
    <w:p>
      <w:r>
        <w:t>- 7/7 -</w:t>
      </w:r>
    </w:p>
    <w:p>
      <w:r>
        <w:t>A/4227/2024-CS PAR CES MOTIFS, La Chambre de surveillance : A la forme : Déclare recevable la plainte formée par A______ le 19 décembre 2024 contre la saisie conservatoire de ses indemnités journalières auprès de F______ du 10 décembre 2024. Au fond : L'admet partiellement, en ce sens que la saisie conservatoire des indemnités de perte de gain en mains de F______ portera sur toute somme supérieure à 8'755 fr. par mois. La rejette pour le surplus. Siégeant : Madame Ursula ZEHETBAUER GHAVAMI, présidente; Messieurs Alexandre BÖHLER et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