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DCSO/18/2012 vom 12. Januar 2012</w:t>
      </w:r>
    </w:p>
    <w:p>
      <w:r>
        <w:t>GE Cour de justice, 2012-01-12, FR</w:t>
      </w:r>
    </w:p>
    <w:p>
      <w:r>
        <w:rPr>
          <w:b/>
        </w:rPr>
        <w:t xml:space="preserve">Quelle: </w:t>
      </w:r>
      <w:r>
        <w:t>https://mcp.opencaselaw.ch/entscheid/ge_gerichte_DCSO_18_2012</w:t>
      </w:r>
    </w:p>
    <w:p>
      <w:r>
        <w:t>FR: GE_GERICHTE DCSO/18/2012 du 12 janvier 2012</w:t>
      </w:r>
    </w:p>
    <w:p>
      <w:r>
        <w:t>IT: GE_GERICHTE DCSO/18/2012 del 12 gennaio 2012</w:t>
      </w:r>
    </w:p>
    <w:p>
      <w:pPr>
        <w:pStyle w:val="Heading2"/>
      </w:pPr>
      <w:r>
        <w:t>Erwägungen</w:t>
      </w:r>
    </w:p>
    <w:p>
      <w:r>
        <w:rPr>
          <w:b/>
        </w:rPr>
        <w:t>E. 1.1</w:t>
      </w:r>
    </w:p>
    <w:p>
      <w:r>
        <w:t>La Chambre de céans est compétente pour connaître des plaintes dirigées contre des mesures prises par des organes de l’exécution forcée qui ne sont pas attaquables par la voie judiciaire (art. 17 LP ; art. 10 al. 1 et art. 11 al. 2 LaLP ; art. 56R al. 3 LOJ).</w:t>
      </w:r>
    </w:p>
    <w:p>
      <w:r>
        <w:t>Un avis de saisie constitue une mesure attaquable par cette voie (BlSchK 2005 p. 230 ; DCSO/456/03 consid. 5.b du 20 octobre 2003) et le tuteur du poursuivi a qualité pour agir en son nom.</w:t>
      </w:r>
    </w:p>
    <w:p>
      <w:r>
        <w:t>La plainte doit être déposée dans les dix jours dès celui où le plaignant a eu connaissance de la mesure (art. 17 al. 2 LP).</w:t>
      </w:r>
    </w:p>
    <w:p>
      <w:r>
        <w:rPr>
          <w:b/>
        </w:rPr>
        <w:t>E. 1.2</w:t>
      </w:r>
    </w:p>
    <w:p>
      <w:r>
        <w:t>En l'espèce, la plainte est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 Chambre de surveillance.</w:t>
      </w:r>
    </w:p>
    <w:p>
      <w:r>
        <w:rPr>
          <w:b/>
        </w:rPr>
        <w:t>E. 2.2</w:t>
      </w:r>
    </w:p>
    <w:p>
      <w:r>
        <w:t>En l'occurrence, l'Office, à la suite d'une interpellation par la Chambre de céans dans le cadre de l'octroi de l'effet suspensif à la présente plainte, a pris une nouvelle décision annulant formellement l'avis de saisie querellé, ce qui a eu pour conséquence de rendre la présente plainte sans objet en cours de procédure. La Chambre de céans doit constater ce qui précède et rayer dès lors la cause du rôle.</w:t>
      </w:r>
    </w:p>
    <w:p>
      <w:r>
        <w:rPr>
          <w:b/>
        </w:rPr>
        <w:t>E. 3</w:t>
      </w:r>
    </w:p>
    <w:p>
      <w:r>
        <w:t>Conformément aux art. 20a al. 2 ch. 5 LP, 61 al. 2 let. a et 62 al. 2 OELP, il n'y a pas lieu de percevoir d'émolument de justice, ni d'allouer des dépens (ATF 5A_548/2008 du</w:t>
      </w:r>
    </w:p>
    <w:p>
      <w:r>
        <w:rPr>
          <w:b/>
        </w:rPr>
        <w:t>E. 7</w:t>
      </w:r>
    </w:p>
    <w:p>
      <w:r>
        <w:t>octobre 2008).</w:t>
      </w:r>
    </w:p>
    <w:p>
      <w:r>
        <w:t>* * * *</w:t>
      </w:r>
    </w:p>
    <w:p>
      <w:r>
        <w:t>- 4 -</w:t>
      </w:r>
    </w:p>
    <w:p>
      <w:r>
        <w:t>PAR CES MOTIFS, La Chambre de surveillance : A la forme : Déclare recevable la plainte formée le 11 novembre 2011 par Me Philippe JUVET, tuteur de M. P______, contre l'avis de saisie, poursuite n° 11 xxxx52 W. Au fond : Constate que cette plainte est devenue sans objet. Raye en conséquence la cause A/3806/2011du rôle.</w:t>
      </w:r>
    </w:p>
    <w:p>
      <w:r>
        <w:t>Siégeant : Madame Valérie LAEMMEL-JUILLARD, présidente; Monsieur Antoine HAMDAN et Monsieur Denis KELLER, juges assesseurs; Madame Paulette DORMAN, greffière.</w:t>
      </w:r>
    </w:p>
    <w:p>
      <w:r>
        <w:t>La présidente : Valérie LAEMMEL-JUILLARD</w:t>
      </w:r>
    </w:p>
    <w:p>
      <w:r>
        <w:t>La greffière : Paulette DORMAN</w:t>
      </w:r>
    </w:p>
    <w:p>
      <w:r>
        <w:t>Voies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