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DCSO/189/2012 vom 20. Dezember 2011</w:t>
      </w:r>
    </w:p>
    <w:p>
      <w:r>
        <w:t>GE Cour de justice, 2011-12-20, FR</w:t>
      </w:r>
    </w:p>
    <w:p>
      <w:r>
        <w:rPr>
          <w:b/>
        </w:rPr>
        <w:t xml:space="preserve">Quelle: </w:t>
      </w:r>
      <w:r>
        <w:t>https://mcp.opencaselaw.ch/entscheid/ge_gerichte_DCSO_189_2012</w:t>
      </w:r>
    </w:p>
    <w:p>
      <w:r>
        <w:t>FR: GE_GERICHTE DCSO/189/2012 du 20 décembre 2011</w:t>
      </w:r>
    </w:p>
    <w:p>
      <w:r>
        <w:t>IT: GE_GERICHTE DCSO/189/2012 del 20 dicembre 2011</w:t>
      </w:r>
    </w:p>
    <w:p>
      <w:pPr>
        <w:pStyle w:val="Heading2"/>
      </w:pPr>
      <w:r>
        <w:t>Regeste</w:t>
      </w:r>
    </w:p>
    <w:p>
      <w:r>
        <w:t>Résumé: La fiction de notification ne vaut pas à l'égard d'une décision de mainlevée d'une caisse maladie. En l'espèce, faute de la preuve de sa notification régulière, la décision de mainlevée n'a pas pu entrer en force et l'Office aurait dû rejeter la réquisition de continuer la poursuite.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une mesure sujette à plainte, que la plaignante, débitrice, a qualité pour contester par cette voie.</w:t>
      </w:r>
    </w:p>
    <w:p>
      <w:r>
        <w:rPr>
          <w:b/>
        </w:rPr>
        <w:t>E. 1.2</w:t>
      </w:r>
    </w:p>
    <w:p>
      <w:r>
        <w:t>La plainte contre une mesure de l'Office doit être déposée dans les dix jours suivant celui où le plaignant a eu connaissance de la décision attaquée (art. 17 al. 2 LP). En l'espèce déposée le 22 mars 2012 contre un avis de saisie expédié le 13 mars 2012, la plainte l'a été en temps utile. Respectant pour le surplus les exigences de forme prescrites par la loi (art. 9 LaLP), la plainte est recevable.</w:t>
      </w:r>
    </w:p>
    <w:p>
      <w:r>
        <w:rPr>
          <w:b/>
        </w:rPr>
        <w:t>E. 2</w:t>
      </w:r>
    </w:p>
    <w:p>
      <w:r>
        <w:t>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l'assurance-maladie, une caisse maladie est en droit, postérieurement à la notification d'un commandement de payer frappé d'opposition, de rendre une décision levant formellement cette opposition (ATF 130 III 524, JdT 2005 II 95; 128 III 246, JdT 2002 66; 121 V 109; 109 V 46, JdT 1985 II 92). La décision que rend la caisse maladie est fondée sur l'art. 49 de la Loi fédérale sur la partie générale du droit des assurances sociales (LPGA; RS 830.1). Les décisions de la caisse maladie portant sur des prestations, créances ou injonctions importantes peuvent être attaquées dans les trente jours par voie d'opposition auprès de l'assureur qui les a rendues (art. 52 al. 1 LPGA).</w:t>
      </w:r>
    </w:p>
    <w:p>
      <w:r>
        <w:rPr>
          <w:b/>
        </w:rPr>
        <w:t>E. 2.2</w:t>
      </w:r>
    </w:p>
    <w:p>
      <w:r>
        <w:t>Il appartient à l'autorité administrative d'établir qu'elle a notifié au débiteur sa décision de mainlevée et qu'il n'a pas exercé le recours à sa disposition (arrêt</w:t>
      </w:r>
    </w:p>
    <w:p>
      <w:r>
        <w:t>- 4/6 -</w:t>
      </w:r>
    </w:p>
    <w:p>
      <w:r>
        <w:t>A/915/2012-CS du Tribunal fédéral 5A_172/2009, publié in BlSchK 2010, p. 207; RTiD 2008 I 1076; BlSchK 2007, p. 111).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Cette condition n'est réalisée que lorsqu'il y a procès en cours qui impose aux parties de se comporter conformément aux règles de la bonne foi, à savoir de faire en sorte, notamment, que les décisions relatives à la procédure puissent leur être notifiées. Le devoir procédural d'avoir à s'attendre avec une certaine vraisemblance à recevoir la notification d'un acte officiel naît avec l'ouverture d'un procès et vaut pendant toutes la durée de la procédure (arrêt du Tribunal fédéral 2A.429/2002, consid. 1; ATF 123 III 492 consid. 1, JdT 1999 II 109; 120 III 3 consid. 1d, JdT 1996 II 136). Dans un arrêt publié aux ATF 130 III 396 (JdT 2005 II 87), le Tribunal fédéral a jugé que lorsque la poursuivante, en tant que caisse maladie assimilée à une autorité de mainlevée, peut elle-même lever l'opposition, elle ouvre une nouvelle procédure; la fiction de la notification ne vaut par conséquent pas à l'égard de sa décision de mainlevée (cf. également arrêt du Tribunal fédéral 5A_172/2009 précité, publié in BlSchK 2010, p. 207; DCSO/11/2012).</w:t>
      </w:r>
    </w:p>
    <w:p>
      <w:r>
        <w:rPr>
          <w:b/>
        </w:rPr>
        <w:t>E. 2.3</w:t>
      </w:r>
    </w:p>
    <w:p>
      <w:r>
        <w:t>En l'espèce, la plaignante a formé opposition au commandement de payer. Par décision du 20 décembre 2011, la poursuivante a prononcé la mainlevée de l'opposition et informé la poursuivie de la voie et du délai d'opposition. Sa décision a été communiquée à la plaignante par pli recommandé, lequel, non réclamé, a été retourné à la poursuivante à l'échéance du délai de garde. La décision de mainlevée, faute de la preuve de sa notification régulière, n'a donc pas pu entrer en force. Si la poursuivante veut continuer la poursuite, elle doit dès lors, conformément à la jurisprudence rappelée ci-dessus (cf. not. ATF 130 III 96 précité, consid. 1.3; DCSO/11/2012 précitée, consid. 2.3), communiquer régulièrement sa décision à la plaignante.</w:t>
      </w:r>
    </w:p>
    <w:p>
      <w:r>
        <w:rPr>
          <w:b/>
        </w:rPr>
        <w:t>E. 2.4</w:t>
      </w:r>
    </w:p>
    <w:p>
      <w:r>
        <w:t>Des considérants qui précèdent il s'ensuit que la plainte doit être admise. L'avis de saisie sera annulé et l'Office invité à rejeter la réquisition de continuer la poursuite n° 11 xxxx70 X.</w:t>
      </w:r>
    </w:p>
    <w:p>
      <w:r>
        <w:t>- 5/6 -</w:t>
      </w:r>
    </w:p>
    <w:p>
      <w:r>
        <w:t>A/915/2012-CS</w:t>
      </w:r>
    </w:p>
    <w:p>
      <w:r>
        <w:rPr>
          <w:b/>
        </w:rPr>
        <w:t>E. 3</w:t>
      </w:r>
    </w:p>
    <w:p>
      <w:r>
        <w:t>La procédure de plainte est gratuite (art. 20a al. 2 ch. 5 LP et art. 61 al. 2 let. a OELP).</w:t>
      </w:r>
    </w:p>
    <w:p>
      <w:r>
        <w:t>*******</w:t>
      </w:r>
    </w:p>
    <w:p>
      <w:r>
        <w:t>- 6/6 -</w:t>
      </w:r>
    </w:p>
    <w:p>
      <w:r>
        <w:t>A/915/2012-CS PAR CES MOTIFS, La Chambre de surveillance : A la forme : Déclare recevable la plainte formée le 22 mars 2012 par Mme B______ contre l'avis de saisie expédié par l'Office des poursuites le 13 mars 2012 dans le cadre de la poursuite n° 11 xxxx70 X. Au fond : L'admet. Annule l'avis de saisie entrepris. Invite l'Office des poursuites à rejeter la réquisition de continuer la poursuite n° 11 xxxx70 X. Siégeant : Monsieur Grégory BOVEY, président; Monsieur Philipp GANZONI et Monsieur Christian CHAVAZ, juges assesseurs; Madame Véronique PISCETTA, greffière. 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