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DCSO/188/2022 vom 19. Mai 2022</w:t>
      </w:r>
    </w:p>
    <w:p>
      <w:r>
        <w:t>GE Cour de justice, 2022-05-19, FR</w:t>
      </w:r>
    </w:p>
    <w:p>
      <w:r>
        <w:rPr>
          <w:b/>
        </w:rPr>
        <w:t xml:space="preserve">Quelle: </w:t>
      </w:r>
      <w:r>
        <w:t>https://mcp.opencaselaw.ch/entscheid/ge_gerichte_DCSO_188_2022</w:t>
      </w:r>
    </w:p>
    <w:p>
      <w:r>
        <w:t>FR: GE_GERICHTE DCSO/188/2022 du 19 mai 2022</w:t>
      </w:r>
    </w:p>
    <w:p>
      <w:r>
        <w:t>IT: GE_GERICHTE DCSO/188/2022 del 19 maggio 2022</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Lorsque la plainte est dirigée contre la saisie, le délai de dix jours prévu par l'art. 17 al. 2 LP commence à courir avec la communication du procès-verbal de saisie</w:t>
      </w:r>
    </w:p>
    <w:p>
      <w:r>
        <w:t>- 4/7 -</w:t>
      </w:r>
    </w:p>
    <w:p>
      <w:r>
        <w:t>A/3745/2021-CS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w:t>
      </w:r>
    </w:p>
    <w:p>
      <w:r>
        <w:rPr>
          <w:b/>
        </w:rPr>
        <w:t>E. 1.2</w:t>
      </w:r>
    </w:p>
    <w:p>
      <w:r>
        <w:t>La plainte émane en l'espèce d'une personne atteinte ou exposée à l'être dans ses intérêts juridiquement protégés par la mesure attaquée, susceptible d'être contestée par cette voie, et respecte les exigences formelles prévues par la loi. Elle est dans cette mesure recevable.</w:t>
      </w:r>
    </w:p>
    <w:p>
      <w:r>
        <w:t>Elle paraît en revanche prématurée dans la mesure où elle a été formée avant la communication du procès-verbal de saisie, lequel fait courir le délai de dix jours prévu par l'art. 17 al. 2 LP pour contester une telle mesure.</w:t>
      </w:r>
    </w:p>
    <w:p>
      <w:r>
        <w:t>Dès lors toutefois que l'Office a communiqué dans l'intervalle le procès-verbal de saisie à la plaignante et que cette dernière a complété sa plainte postérieurement à sa réception, il y a lieu de déclarer la plainte recevable. La plaignante invoque d'ailleurs une atteinte à son minimum vital (art. 92 al. 1 ch. 1 et 3 LP) et soulève donc un grief qui pourrait, selon les circonstances, entraîner la nullité au sens de l'art. 22 al. 1 LP de la mesure contestée (arrêt du Tribunal fédéral 7B.30/2005 du 18 avril 2005 consid. 3.2; Kren Kostkiewicz, in KUKO SchKG, N 95 ad art. 92 LP), ce qui justifie aussi qu'il soit entré en matière sur la plainte.</w:t>
      </w:r>
    </w:p>
    <w:p>
      <w:r>
        <w:rPr>
          <w:b/>
        </w:rPr>
        <w:t>E. 2</w:t>
      </w:r>
    </w:p>
    <w:p>
      <w:r>
        <w:t>2.1.1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NI-2021;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NI-2021), doivent être ajoutées à cette base mensuelle d'entretien, pour autant qu'elles soient effectivement payées (OCHSNER, in CR-LP, n° 82 ad art. 93 LP).</w:t>
      </w:r>
    </w:p>
    <w:p>
      <w:r>
        <w:t>Si le débiteur partage son logement avec une ou plusieurs personnes adultes réalisant un revenu sans qu'ils forment une communauté analogue à un mariage, la</w:t>
      </w:r>
    </w:p>
    <w:p>
      <w:r>
        <w:t>- 5/7 -</w:t>
      </w:r>
    </w:p>
    <w:p>
      <w:r>
        <w:t>A/3745/2021-CS charge de loyer doit en principe être partagée en proportion avec le nombre d'occupants (ATF 132 III 483 consid. 5; WINKLER, in Kommentar SchKG, 2017, Kren Kostkiewicz/Vock [éd.], n° 44 ad art. 93 LP).</w:t>
      </w:r>
    </w:p>
    <w:p>
      <w:r>
        <w:t>2.1.2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2.1.3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Lorsqu'elle est saisie d'une plainte, il appartient à l'autorité de surveillance de vérifier uniquement si la retenue fixée par l'office des poursuites ou le calcul qu'il a effectué est conforme aux faits déterminant la quotité saisissable des revenus du débiteur, compte tenu des circonstances existant au moment de l'exécution de cette mesure (ATF 121 III 20 consid. 3, JdT 1997 II 163).</w:t>
      </w:r>
    </w:p>
    <w:p>
      <w:r>
        <w:rPr>
          <w:b/>
        </w:rPr>
        <w:t>E. 2.2</w:t>
      </w:r>
    </w:p>
    <w:p>
      <w:r>
        <w:t>Dans le cas d'espèce, usant du pouvoir d'appréciation que lui réserve l'art. 93 al. 1 LP, l'Office a considéré que la charge de loyer de la plaignante s'élève à 1'155 fr. par mois, après déduction d'une participation au loyer de la part de son colocataire, à hauteur de 750 fr. par mois.</w:t>
      </w:r>
    </w:p>
    <w:p>
      <w:r>
        <w:t>Le fait, allégué par la plaignante, qu'elle supporterait en réalité seule le paiement du loyer, ne saurait être pris en considération. En effet, d'une part, les éléments en possession de l'Office soutiennent l'existence d'un rapport de colocation et le paiement par le colocataire d'une participation au loyer, conformément aux déclarations de ce dernier à l'Hospice général, qui en a tenu compte dans le calcul des prestations d'assistance. Rien ne justifie, d'autre part, que la plaignante héberge gratuitement l'intéressé, avec lequel elle ne forme pas une communauté analogue à un mariage, ce qu'elle n'allègue du reste pas.</w:t>
      </w:r>
    </w:p>
    <w:p>
      <w:r>
        <w:t>L'attestation fournie par la plaignante devant la Chambre de céans, selon laquelle ledit colocataire ne paierait pas le loyer, n'est pas probante, vu qu'elle est</w:t>
      </w:r>
    </w:p>
    <w:p>
      <w:r>
        <w:t>- 6/7 -</w:t>
      </w:r>
    </w:p>
    <w:p>
      <w:r>
        <w:t>A/3745/2021-CS largement antérieure à la saisie (elle date de 2019) et qu'elle est du reste contredite par un document en possession de l'Office attestant de l'exact contraire et daté de la même année.</w:t>
      </w:r>
    </w:p>
    <w:p>
      <w:r>
        <w:t>Enfin, la plaignante, qui ne peut rien tirer de la quittance d'un hôtel établie en faveur de son colocataire, n'a pas fourni des explications supplémentaires susceptibles d'étayer sa position et a donc failli à son obligation de collaborer. Bien que dûment convoquée, elle n'a pas comparu à l'audience fixée par la Chambre de céans et n'a pas non plus fait suivre le certificat médical annoncé, susceptible selon elle de justifier son absence, laquelle doit donc être considérée comme étant non excusée.</w:t>
      </w:r>
    </w:p>
    <w:p>
      <w:r>
        <w:t>C'est donc à juste titre que l'Office n'a retenu au titre des charges de logement de la poursuivie qu'une partie du loyer de l'appartement qu'elle partage avec son colocataire.</w:t>
      </w:r>
    </w:p>
    <w:p>
      <w:r>
        <w:t>La plaignante ne remet pour le surplus pas en cause de manière motivée et documentée d'autres éléments du calcul du minimum vital, de sorte que la plainte doit être rejetée.</w:t>
      </w:r>
    </w:p>
    <w:p>
      <w:r>
        <w:rPr>
          <w:b/>
        </w:rPr>
        <w:t>E. 3</w:t>
      </w:r>
    </w:p>
    <w:p>
      <w:r>
        <w:t>La procédure de plainte est gratuite (art. 20a al. 2 ch. 5 LP et art. 61 al. 2 let. a OELP) et il ne peut être alloué aucuns dépens dans cette procédure (art. 62 al. 2 OELP). * * * * *</w:t>
      </w:r>
    </w:p>
    <w:p>
      <w:r>
        <w:t>- 7/7 -</w:t>
      </w:r>
    </w:p>
    <w:p>
      <w:r>
        <w:t>A/3745/2021-CS PAR CES MOTIFS, La Chambre de surveillance : A la forme : Déclare recevable la plainte formée le 2 novembre 2021 par A______ contre l'exécution de la saisie dans la série n° 1______. Au fond : La rejette. Siégeant : Madame Verena PEDRAZZINI RIZZI, présidente; Madame Ekaterine BLINOVA et Monsieur Mathieu HOWALD,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