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DCSO/177/2024 vom 2. Mai 2024</w:t>
      </w:r>
    </w:p>
    <w:p>
      <w:r>
        <w:t>GE Cour de justice, 2024-05-02, FR</w:t>
      </w:r>
    </w:p>
    <w:p>
      <w:r>
        <w:rPr>
          <w:b/>
        </w:rPr>
        <w:t xml:space="preserve">Quelle: </w:t>
      </w:r>
      <w:r>
        <w:t>https://mcp.opencaselaw.ch/entscheid/ge_gerichte_DCSO_177_2024</w:t>
      </w:r>
    </w:p>
    <w:p>
      <w:r>
        <w:t>FR: GE_GERICHTE DCSO/177/2024 du 2 mai 2024</w:t>
      </w:r>
    </w:p>
    <w:p>
      <w:r>
        <w:t>IT: GE_GERICHTE DCSO/177/2024 del 2 maggio 2024</w:t>
      </w:r>
    </w:p>
    <w:p>
      <w:pPr>
        <w:pStyle w:val="Heading2"/>
      </w:pPr>
      <w:r>
        <w:t>Erwägungen</w:t>
      </w:r>
    </w:p>
    <w:p>
      <w:r>
        <w:rPr>
          <w:b/>
        </w:rPr>
        <w:t>E. 1</w:t>
      </w:r>
    </w:p>
    <w:p>
      <w:r>
        <w:t>1.1.1 La Chambre de surveillance est compétente pour statuer sur les plaintes formées en application de l'article 17 al. 1 LP (art. 13 LP; art. 125 et 126 al. 2 let. c LOJ; art. 6 al. 1 et 3 et 7 al. 1 LaLP) contre les mesures de l'Office ne pouvant être contestées par la voie judiciaire.</w:t>
      </w:r>
    </w:p>
    <w:p>
      <w:r>
        <w:t>1.1.2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t>1.1.3 La qualité pour porter plainte suppose un intérêt à agir. Elle est reconnue à toute personne lésée ou exposée à l'être dans ses intérêts juridiquement protégés, ou tout au moins touchée dans ses intérêts de fait, par une mesure ou une omission</w:t>
      </w:r>
    </w:p>
    <w:p>
      <w:r>
        <w:t>- 4/6 -</w:t>
      </w:r>
    </w:p>
    <w:p>
      <w:r>
        <w:t>A/806/2024-CS d'un organe de la poursuite (ATF 120 III 42; SJ 1997 49); le plaignant doit être touché dans une mesure et avec une intensité plus grande que quiconque.</w:t>
      </w:r>
    </w:p>
    <w:p>
      <w:r>
        <w:t>En principe, le débiteur a toujours un intérêt pour porter plainte (ERARD, CR LP, n° 25 ad art. 17 LP).</w:t>
      </w:r>
    </w:p>
    <w:p>
      <w:r>
        <w:t>En matière d'obligation de renseigner, au sens de l'art. 91 al. 4 LP, la qualité de plaignant est en principe reconnue au tiers auquel il est fait injonction de fournir des informations (cf. arrêt du Tribunal fédéral 7B.114/2005 du 12 octobre 2005; MEIER, Das Verwaltungsverfahren vor den Schuldbetreibungs- und Konkursbehörden, 2002, p. 25 et pp. 83 ss).</w:t>
      </w:r>
    </w:p>
    <w:p>
      <w:r>
        <w:rPr>
          <w:b/>
        </w:rPr>
        <w:t>E. 1.2</w:t>
      </w:r>
    </w:p>
    <w:p>
      <w:r>
        <w:t>En l'espèce, la question de savoir si la plaignante, en sa qualité de poursuivie, dispose de l'intérêt pour agir à l'encontre de la demande de l'Office d'obtenir des renseignements d'un tiers, souffre de rester indécise, vu l'issue de la procédure. Il en va de même de la question de savoir si elle agit en tant que représentante de l'association "D______".</w:t>
      </w:r>
    </w:p>
    <w:p>
      <w:r>
        <w:rPr>
          <w:b/>
        </w:rPr>
        <w:t>E. 2</w:t>
      </w:r>
    </w:p>
    <w:p>
      <w:r>
        <w:t>2.1.1 Selon l'art. 93 al. 1 LP, les revenus relativement saisissables tels que les revenus du travail ne peuvent être saisis que déduction faite de ce que le préposé estime indispensable au débiteur et à sa famille (minimum vital).</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 après : NI; OCHSNER, Le minimum vital (art. 93 al. 1 LP), in SJ 2012 II p. 119 ss, 123; COLLAUD, Le minimum vital selon l'article 93 LP, in RFJ 2012 p. 299 ss, 303; arrêt du Tribunal fédéral 5A_919/2012 du 11 février 2013 consid. 4.3.1).</w:t>
      </w:r>
    </w:p>
    <w:p>
      <w:r>
        <w:t>2.1.2 Aux termes de l'art. 91 al. 1 ch. 2 LP, le débiteur est tenu, sous menace des peines prévues par la loi, d'indiquer jusqu'à due concurrence tous les biens qui lui appartiennent, même ceux qui ne sont pas en sa possession, ainsi que ses créances et autres droits contre des tiers. Le système préconisé par le législateur, mis en exergue par la note marginale de l'art. 91 LP, est ainsi fondé sur le devoir de renseigner, lequel incombe prioritairement au débiteur qui est le mieux placé pour fournir à l'Office les informations le concernant (JEANDIN, CR-LP, 2005, N 2 ad art. 91). Le débiteur faisant l'objet d'une saisie est en conséquence tenu de fournir à l'Office toutes les informations et pièces permettant à celui-ci de calculer son minimum d'existence au sens de l'art. 93 al. 1 LP.</w:t>
      </w:r>
    </w:p>
    <w:p>
      <w:r>
        <w:t>- 5/6 -</w:t>
      </w:r>
    </w:p>
    <w:p>
      <w:r>
        <w:t>A/806/2024-CS</w:t>
      </w:r>
    </w:p>
    <w:p>
      <w:r>
        <w:t>Les tiers qui détiennent des biens du débiteur ou contre qui le débiteur a des créances ont, sous menace des peines prévues par la loi (art. 324, ch. 5, CP), la même obligation de renseigner que le débiteur (art. 91 al. 4 LP).</w:t>
      </w:r>
    </w:p>
    <w:p>
      <w:r>
        <w:rPr>
          <w:b/>
        </w:rPr>
        <w:t>E. 2.2</w:t>
      </w:r>
    </w:p>
    <w:p>
      <w:r>
        <w:t>En l'espèce, à la suite de l'audition de la plaignante, l'Office lui a fixé un délai pour fournir les extraits de ses comptes bancaires. Il a aussi invité l'association "D______" à fournir un extrait de son propre compte, dès lors que selon les explications de la plaignante, ce compte servirait notamment à financer ses propres dépenses, notamment le loyer d'un appartement qu'elle allègue occuper. Or, il est pertinent de déterminer si la plaignante s'acquitte d'une charge de loyer ou pas, seules les charges effectivement supportées par le débiteur étant comprises dans le calcul de son minimum vital. Partant, les investigations de l'Office sont justifiées, car elles tendent à établir la situation financière de la poursuivie en vue de déterminer la quotité saisissable. En tant qu'elle porte contre la demande de renseignements du 21 février 2024 la plainte sera par conséquent rejetée.</w:t>
      </w:r>
    </w:p>
    <w:p>
      <w:r>
        <w:rPr>
          <w:b/>
        </w:rPr>
        <w:t>E. 2.3</w:t>
      </w:r>
    </w:p>
    <w:p>
      <w:r>
        <w:t>En tant que la plaignante conteste la saisie, il sera observé que la plainte n'est pas dirigée contre un procès-verbal de saisie, de sorte qu'elle apparaît prématurée. Il ne résulte en outre pas du dossier qu'à la date du dépôt de la plainte, une saisie de revenus portant atteinte au minimum vital de la plaignante était déjà intervenue. La plaignante ne rend du reste pas vraisemblable, en se prévalant d'éléments concrets, une atteinte flagrante à son minimum vital. Aussi, la plainte s'avère en tous points mal fondée et sera rejetée, pour autant qu'elle soit recevable. Il n'y a par conséquent pas lieu d'examiner les requêtes de mesures provisionnelles et d'effet suspensif.</w:t>
      </w:r>
    </w:p>
    <w:p>
      <w:r>
        <w:rPr>
          <w:b/>
        </w:rPr>
        <w:t>E. 3</w:t>
      </w:r>
    </w:p>
    <w:p>
      <w:r>
        <w:t>La procédure de plainte est gratuite (art. 20a al. 2 ch. 5 LP; 61 al. 2 let. a OELP). * * * * *</w:t>
      </w:r>
    </w:p>
    <w:p>
      <w:r>
        <w:t>- 6/6 -</w:t>
      </w:r>
    </w:p>
    <w:p>
      <w:r>
        <w:t>A/806/2024-CS PAR CES MOTIFS, La Chambre de surveillance :</w:t>
      </w:r>
    </w:p>
    <w:p>
      <w:r>
        <w:t>Rejette, dans la mesure de sa recevabilité, la plainte formée le 7 mars 2024 contre la demande de renseignements du 21 février 2024 et les avis de saisie dans les poursuites nos 2______, 3______, 4______, 5______, 6______ datés des 24 janvier, 30 janvier, 2 février et 15 février 2024. Siégeant : Madame Verena PEDRAZZINI RIZZI, présidente; Madame Natalie OPPATJA et Monsieur Denis KELLER, juges assesseurs;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