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DCSO/175/2016 vom 22. April 2016</w:t>
      </w:r>
    </w:p>
    <w:p>
      <w:r>
        <w:t>GE Cour de justice, 2016-04-22, FR</w:t>
      </w:r>
    </w:p>
    <w:p>
      <w:r>
        <w:rPr>
          <w:b/>
        </w:rPr>
        <w:t xml:space="preserve">Quelle: </w:t>
      </w:r>
      <w:r>
        <w:t>https://mcp.opencaselaw.ch/entscheid/ge_gerichte_DCSO_175_2016</w:t>
      </w:r>
    </w:p>
    <w:p>
      <w:r>
        <w:t>FR: GE_GERICHTE DCSO/175/2016 du 22 avril 2016</w:t>
      </w:r>
    </w:p>
    <w:p>
      <w:r>
        <w:t>IT: GE_GERICHTE DCSO/175/2016 del 22 aprile 2016</w:t>
      </w:r>
    </w:p>
    <w:p>
      <w:pPr>
        <w:pStyle w:val="Heading2"/>
      </w:pPr>
      <w:r>
        <w:t>Erwägungen</w:t>
      </w:r>
    </w:p>
    <w:p>
      <w:r>
        <w:rPr>
          <w:b/>
        </w:rPr>
        <w:t>E. 1</w:t>
      </w:r>
    </w:p>
    <w:p>
      <w:r>
        <w:t>Toute plainte en matière de poursuite doit viser une mesure de l'Office sujette à plainte (art. 17 LP; art. 125 al. 2 et 126 al. 2 let. c LOJ; art. 6 al. 3, 7 al. 1 et 9 LaLP). Par ailleurs, la plainte doit être déposée dans le délai légal de 10 jours dès celui où le plaignant a eu connaissance de la mesure visée (art. 17 al. 2 LP). En outre, les conclusions d’une plainte doivent figurer dans la plainte elle-même (cf. art. 65 al. 1 LPA applicable par renvoi de l'art. 9 al. 4 LaLP). La plainte doit également indiquer quel acte est visé. A défaut, la juridiction saisie impartit un bref délai au plaignant pour satisfaire à ces exigences, sous peine d’irrecevabilité (art. 65 al. 1 et 2 LPA).</w:t>
      </w:r>
    </w:p>
    <w:p>
      <w:r>
        <w:rPr>
          <w:b/>
        </w:rPr>
        <w:t>E. 2</w:t>
      </w:r>
    </w:p>
    <w:p>
      <w:r>
        <w:t>En l'espèce, la plainte est dépourvue de toute motivation et de conclusions. La plaignante n'a pas saisi l'opportunité que la Chambre lui a donnée de la motiver et de prendre des conclusions. L'attention de la plaignante a expressément été attirée sur le fait qu'à défaut de ces précisions, sa plainte serait déclarée irrecevable. Celle-ci ne satisfaisant pas aux conditions de forme, elle est donc irrecevable. En outre, quand bien même elle serait recevable, elle devrait être rejetée. En effet, le délai de dix jours pour former opposition à cette poursuite est arrivé à échéance il y a plus de 8 mois. La plaignante ne fait pas valoir un motif justifiant la restitution du délai d'opposition. Ainsi, c’est à juste titre que l’Office a déclaré l'opposition tardive. Conformément à l'art. 72 LPA, la Chambre a statué sans instruction préalable.</w:t>
      </w:r>
    </w:p>
    <w:p>
      <w:r>
        <w:t>- 3/4 -</w:t>
      </w:r>
    </w:p>
    <w:p>
      <w:r>
        <w:t>A/1309/2016-CS</w:t>
      </w:r>
    </w:p>
    <w:p>
      <w:r>
        <w:rPr>
          <w:b/>
        </w:rPr>
        <w:t>E. 3</w:t>
      </w:r>
    </w:p>
    <w:p>
      <w:r>
        <w:t>La procédure est gratuite (art. 61 al. 2 let. a OELP). * * * * *</w:t>
      </w:r>
    </w:p>
    <w:p>
      <w:r>
        <w:t>- 4/4 -</w:t>
      </w:r>
    </w:p>
    <w:p>
      <w:r>
        <w:t>A/1309/2016-CS PAR CES MOTIFS, La Chambre de surveillance :</w:t>
      </w:r>
    </w:p>
    <w:p>
      <w:r>
        <w:t>Déclare irrecevable la plainte formée le 28 avril 2016 par A______ dans le cadre de la poursuite n° 15 xxxx86 J. Siégeant : Madame Florence KRAUSKOPF, présidente; Monsieur Michel BERTSCHY et Monsieur Christian CHAVAZ,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