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DCSO/173/2015 vom 29. Januar 2015</w:t>
      </w:r>
    </w:p>
    <w:p>
      <w:r>
        <w:t>GE Cour de justice, 2015-01-29, FR</w:t>
      </w:r>
    </w:p>
    <w:p>
      <w:r>
        <w:rPr>
          <w:b/>
        </w:rPr>
        <w:t xml:space="preserve">Quelle: </w:t>
      </w:r>
      <w:r>
        <w:t>https://mcp.opencaselaw.ch/entscheid/ge_gerichte_DCSO_173_2015</w:t>
      </w:r>
    </w:p>
    <w:p>
      <w:r>
        <w:t>FR: GE_GERICHTE DCSO/173/2015 du 29 janvier 2015</w:t>
      </w:r>
    </w:p>
    <w:p>
      <w:r>
        <w:t>IT: GE_GERICHTE DCSO/173/2015 del 29 gennaio 2015</w:t>
      </w:r>
    </w:p>
    <w:p>
      <w:pPr>
        <w:pStyle w:val="Heading2"/>
      </w:pPr>
      <w:r>
        <w:t>Regeste</w:t>
      </w:r>
    </w:p>
    <w:p>
      <w:r>
        <w:t>Résumé: Nullité de laDCSO/173/15constatée parDCSO/71/16du 11 février 2016.</w:t>
      </w:r>
    </w:p>
    <w:p>
      <w:pPr>
        <w:pStyle w:val="Heading2"/>
      </w:pPr>
      <w:r>
        <w:t>Erwägungen</w:t>
      </w:r>
    </w:p>
    <w:p>
      <w:r>
        <w:rPr>
          <w:b/>
        </w:rPr>
        <w:t>E. 1</w:t>
      </w:r>
    </w:p>
    <w:p>
      <w:r>
        <w:t>La Chambre de céans est compétente pour statuer sur la présente requête (art. 47 OLEP; art. 7 al. 2 LaLP).</w:t>
      </w:r>
    </w:p>
    <w:p>
      <w:r>
        <w:rPr>
          <w:b/>
        </w:rPr>
        <w:t>E. 2</w:t>
      </w:r>
    </w:p>
    <w:p>
      <w:r>
        <w:t>Sur la base de l’art. 16 al. 1 LP, le Conseil fédéral a arrêté le tarif des émoluments perçus en application de la LP, en édictant l’OELP. Cette ordonnance règle de façon exhaustive et obligatoire les émoluments et indemnités perçus par les</w:t>
      </w:r>
    </w:p>
    <w:p>
      <w:r>
        <w:t>- 3/4 -</w:t>
      </w:r>
    </w:p>
    <w:p>
      <w:r>
        <w:t>A/1333/2015-CS offices, autorités et autres organes qui, en application de la LP ou d’autres actes législatifs fédéraux, effectuent des opérations dans le cadre d’une exécution forcée, d’un concordat ou d’un sursis concordataire (ATF 128 III 476; 103 III 65 consid. 1). Les émoluments en matière de faillite sont fixés aux art. 44 à 46 OELP. Ils s’appliquent tant à l’administration ordinaire qu’à l’administration spéciale de la faillite (art. 43 OELP). Une modification de cette tarification peut intervenir en cas de procédures complexes, sur décision de l’autorité de surveillance. En effet, lorsqu’il s’agit de procédures qui requièrent des enquêtes particulières aux fins d’établir les faits ou le droit, l’autorité de surveillance fixe la rémunération pour l’administration ordinaire ou spéciale; ce faisant, elle tient compte notamment de la difficulté et de l’importance de l’affaire, du volume de travail fourni et du temps consacré (art. 47 al. 1 OELP).</w:t>
      </w:r>
    </w:p>
    <w:p>
      <w:r>
        <w:rPr>
          <w:b/>
        </w:rPr>
        <w:t>E. 3</w:t>
      </w:r>
    </w:p>
    <w:p>
      <w:r>
        <w:t>En l’occurrence, il peut être admis que la liquidation de la faillite de F______ SA présente une certaine complexité, compte tenu du fait que des actes illicites sont reprochés à l'ancien administrateur et que des biens auraient été déplacés à l'étranger. Ces éléments justifient qu’une modification de la tarification prévue par l’OELP soit adoptée pour l’administrateur spécial. Au vu des actes à accomplir, la rémunération horaire de l’administrateur spécial peut être fixée à 350 fr. l’heure, conformément à la demande de l’administrateur spécial. Le même tarif sera admis pour les services rendus par les associés de l'administrateur spécial, étant cependant précisé que la nécessité de recourir ponctuellement à l'aide de ceux-ci devra être justifiée. Enfin, le tarif-horaire de 150 fr. pour l'activité déployée par l'avocat-stagiaire sera également admis. * * * * *</w:t>
      </w:r>
    </w:p>
    <w:p>
      <w:r>
        <w:t>- 4/4 -</w:t>
      </w:r>
    </w:p>
    <w:p>
      <w:r>
        <w:t>A/1333/2015-CS PAR CES MOTIFS, La Chambre de surveillance : Fixe la rémunération horaire de l’administrateur spécial de F______ SA en faillite à 350 fr. Dit que le même tarif horaire est applicable à MMes N______ et C______. Dit que le tarif horaire est de 150 fr. pour l'activité de l'avocat-stagiaire de l'administrateur spécial. Siégeant : Mme Valérie LAEMMEL-JULLARD, présidente; Mme Florence KRAUSKOPF et Monsieur Patrick CHENAUX, juges;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