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DCSO/172/2022 vom 5. Mai 2022</w:t>
      </w:r>
    </w:p>
    <w:p>
      <w:r>
        <w:t>GE Cour de justice, 2022-05-05, FR</w:t>
      </w:r>
    </w:p>
    <w:p>
      <w:r>
        <w:rPr>
          <w:b/>
        </w:rPr>
        <w:t xml:space="preserve">Quelle: </w:t>
      </w:r>
      <w:r>
        <w:t>https://mcp.opencaselaw.ch/entscheid/ge_gerichte_DCSO_172_2022</w:t>
      </w:r>
    </w:p>
    <w:p>
      <w:r>
        <w:t>FR: GE_GERICHTE DCSO/172/2022 du 5 mai 2022</w:t>
      </w:r>
    </w:p>
    <w:p>
      <w:r>
        <w:t>IT: GE_GERICHTE DCSO/172/2022 del 5 maggio 2022</w:t>
      </w:r>
    </w:p>
    <w:p>
      <w:pPr>
        <w:pStyle w:val="Heading2"/>
      </w:pPr>
      <w:r>
        <w:t>Erwägungen</w:t>
      </w:r>
    </w:p>
    <w:p>
      <w:r>
        <w:rPr>
          <w:b/>
        </w:rPr>
        <w:t>E. 1</w:t>
      </w:r>
    </w:p>
    <w:p>
      <w:r>
        <w:t>Déposée en temps utile, soit dans les dix jours suivant la notification du commandement de payer en l'Etude de Me Romain JORDAN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Un commandement de payer est un acte de poursuite qui doit faire l'objet d'une communication revêtant la forme qualifiée de la notification (art. 72 LP).</w:t>
      </w:r>
    </w:p>
    <w:p>
      <w:r>
        <w:t>La sanction d'une notification viciée consiste, lorsque malgré le vice le destinataire de l'acte en a eu connaissance, en l'annulabilité sur plainte de la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Cela vaut notamment lorsque l'Office n'a pas respecté l'élection de domicile du débiteur chez un représentant professionnel (décision de la Chambre de surveillance DCSO/583/2018 du 08.11.2018).</w:t>
      </w:r>
    </w:p>
    <w:p>
      <w:r>
        <w:t>Le représentant conventionnel désigné par le débiteur – personne physique ou morale – doit toutefois être au bénéfice d'une procuration générale ou d'une procuration portant expressément sur la réception, pour le compte du débiteur, d'actes de poursuite (ATF 43 III 18 consid. 3 ; arrêt du Tribunal fédéral 5A_45/2015 du 20 avril 2015 consid. 3.2 et références citées). La portée de la procuration est établie selon les règles prévalant en général, spécialement au</w:t>
      </w:r>
    </w:p>
    <w:p>
      <w:r>
        <w:t>- 4/5 -</w:t>
      </w:r>
    </w:p>
    <w:p>
      <w:r>
        <w:t>A/3585/2021-CS regard du principe de la confiance (arrêt du Tribunal fédéral 5A_45/2015 précité consid. 3.2; DONZALLAZ, La notification en droit interne suisse, 2002, n. 790, p. 409).</w:t>
      </w:r>
    </w:p>
    <w:p>
      <w:r>
        <w:t>Un avocat mandaté pour la conduite d'un procès n'est toutefois pas présumé avoir été autorisé à recevoir les actes de poursuite en relation avec ce procès, à moins que le mandat ne comporte expressément cette faculté (ATF 25 I 121; arrêts du Tribunal fédéral 7B.86/2006 du 8 février 2007 consid. 2.1 et 5A_45/2015 précité consid. 3.2).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p. 85).</w:t>
      </w:r>
    </w:p>
    <w:p>
      <w:r>
        <w:rPr>
          <w:b/>
        </w:rPr>
        <w:t>E. 2.2</w:t>
      </w:r>
    </w:p>
    <w:p>
      <w:r>
        <w:t>En l'espèce, l'avocat de la plaignante est au bénéfice d'une procuration générale pour gérer ses affaires en lien avec B______. La plaignante a par ailleurs directement indiqué à l'Office la portée de cette procuration, par courrier du 28 juin 2021, lequel implique que tout acte de poursuite soit notifié chez son avocat. Dans ces circonstances, une élection de domicile valable doit être admise et la notification du commandement de payer chez Me Romain JORDAN est valable. Elle est opposable à la plaignante, même si cette dernière n'a vraisemblablement pas clairement communiqué la portée de la procuration à son propre avocat.</w:t>
      </w:r>
    </w:p>
    <w:p>
      <w:r>
        <w:t>La plainte sera par conséquent rejetée.</w:t>
      </w:r>
    </w:p>
    <w:p>
      <w:r>
        <w:rPr>
          <w:b/>
        </w:rPr>
        <w:t>E. 3</w:t>
      </w:r>
    </w:p>
    <w:p>
      <w:r>
        <w:t>La plainte ne soulève aucun grief en lien avec le processus de notification par voie simplifiée et aucun motif de nullité (art. 22 al. 1 LP) n'est perceptible qui impliquerait que la Chambre de surveillance l'examine.</w:t>
      </w:r>
    </w:p>
    <w:p>
      <w:r>
        <w:t>Il en va de même du fait de savoir si la débitrice a fait opposition au commandement de payer.</w:t>
      </w:r>
    </w:p>
    <w:p>
      <w:r>
        <w:rPr>
          <w:b/>
        </w:rPr>
        <w:t>E. 4</w:t>
      </w:r>
    </w:p>
    <w:p>
      <w:r>
        <w:t>La procédure de plainte est gratuite (art. 20a al. 2 ch. 5 LP; art. 61 al. 2 let. a OELP) et ne donne pas lieu à l'allocation de dépens (art. 62 al. 2 OELP).</w:t>
      </w:r>
    </w:p>
    <w:p>
      <w:r>
        <w:t>* * * * *</w:t>
      </w:r>
    </w:p>
    <w:p>
      <w:r>
        <w:t>- 5/5 -</w:t>
      </w:r>
    </w:p>
    <w:p>
      <w:r>
        <w:t>A/3585/2021-CS PAR CES MOTIFS, La Chambre de surveillance : A la forme : Déclare recevable la plainte formée le 18 octobre 2021 par A______ contre la notification du commandement de payer, poursuite n° 1______. Au fond : La rejette. Siégeant : Monsieur Jean REYMOND, président; Monsieur Frédéric HENSLER et Monsieur Denis KELLER, juges assesseurs ;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