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DCSO/170/2019 vom 4. April 2019</w:t>
      </w:r>
    </w:p>
    <w:p>
      <w:r>
        <w:t>GE Cour de justice, 2019-04-04, FR</w:t>
      </w:r>
    </w:p>
    <w:p>
      <w:r>
        <w:rPr>
          <w:b/>
        </w:rPr>
        <w:t xml:space="preserve">Quelle: </w:t>
      </w:r>
      <w:r>
        <w:t>https://mcp.opencaselaw.ch/entscheid/ge_gerichte_DCSO_170_2019</w:t>
      </w:r>
    </w:p>
    <w:p>
      <w:r>
        <w:t>FR: GE_GERICHTE DCSO/170/2019 du 4 avril 2019</w:t>
      </w:r>
    </w:p>
    <w:p>
      <w:r>
        <w:t>IT: GE_GERICHTE DCSO/170/2019 del 4 aprile 2019</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DALLEVES/FOËX/JEANDIN [éd.], n° 25 et 26 ad art. 17 LP; DIETH/WOHL, in KUKO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a en l'espèce été déposée en temps utile et dans les formes prévues par la loi contre un acte pouvant être contesté par cette voie.</w:t>
      </w:r>
    </w:p>
    <w:p>
      <w:r>
        <w:t>La qualité pour former une plainte doit par ailleurs être reconnue au plaignant, dont la créance a été admise à l'état de collocation.</w:t>
      </w:r>
    </w:p>
    <w:p>
      <w:r>
        <w:rPr>
          <w:b/>
        </w:rPr>
        <w:t>E. 2</w:t>
      </w:r>
    </w:p>
    <w:p>
      <w:r>
        <w:t>2.1.1. Selon l'art. 260 LP, si l'ensemble des créanciers renonce à faire valoir une prétention, chacun d'eux peut en demander la cession à la masse; le produit, déduction faite des frais, sert à couvrir les créances des cessionnaires dans l'ordre de leur rang et l'excédent est versé à la masse.</w:t>
      </w:r>
    </w:p>
    <w:p>
      <w:r>
        <w:t>- 5/7 -</w:t>
      </w:r>
    </w:p>
    <w:p>
      <w:r>
        <w:t>A/10/2019-CS</w:t>
      </w:r>
    </w:p>
    <w:p>
      <w:r>
        <w:t>La cession prévue par cette disposition est une institution du droit de la faillite et du droit de procédure "sui generis" qui peut être considérée comme une "Prozess- standschaft", permettant au cessionnaire d'entamer un procès en son propre nom ou de reprendre celui-ci dans les mêmes conditions, sans qu'il devienne pour autant, par la cession, le titulaire de la prétention litigieuse (arrêt du Tribunal fédéral 5A_344/2018 du 18 septembre 2018 consid. 4.1.1 et références citées).</w:t>
      </w:r>
    </w:p>
    <w:p>
      <w:r>
        <w:t>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138 III 628 consid. 5.3.2).</w:t>
      </w:r>
    </w:p>
    <w:p>
      <w:r>
        <w:t>De jurisprudence constante (ATF 39 I 461 consid. 1), la cession des droits de la masse à un cessionnaire qui est lui-même débiteur des droits cédés est inadmissible. Dans une telle hypothèse en effet, l'exécution par le créancier cessionnaire du mandat procédural qui lui est délivré serait impossible et ce dernier ne pourrait prétendre à un droit de préférence sur l'éventuel produit d'un procès.</w:t>
      </w:r>
    </w:p>
    <w:p>
      <w:r>
        <w:t>2.1.2 La cession est une mesure de liquidation de la faillite, qui relève de la compétence de l'administration de la faillite puis, sur plainte, de l'autorité de surveillance. Il s'agit d'une décision de procédure, rendue sur la base de la teneur de l'état de collocation, qui détermine les créanciers, et de l'inventaire, qui constate l'étendue de la masse active. Elle porte sur le droit d'un créancier à conduire ou poursuivre un procès concernant un droit de la masse, mais pas sur sa légitimation, qui relève du droit matériel et doit être examinée par le juge. C'est ainsi au juge civil qu'il appartient, par exemple, de déterminer si une société mère peut faire valoir une prétention contre sa société fille (ATF 138 III 628 consid. 5.5), ni l'administration de la faillite ni l'autorité de surveillance ne pouvant, dans un tel cas, refuser de délivrer un acte de cession et faire ainsi obstacle à l'exécution de prétentions fondées sur le droit matériel (ATF 107 III 91 consid. 2).</w:t>
      </w:r>
    </w:p>
    <w:p>
      <w:r>
        <w:t>Ainsi, l'administration de la faillite ne peut – et ne doit – refuser la cession en raison d'une confusion entre les qualités de créancier et de débiteur que si le créancier requérant la cession est, selon l'inventaire et l'état de collocation, formellement la même personne juridique que le débiteur du droit cédé. Si en revanche le créancier requérant la cession et le débiteur du droit cédé sont deux entités juridiques distinctes, l'administration de la faillite devra délivrer un acte de cession. Celui-ci liera le juge civil quant à l'existence d'un mandat procédural conféré par la masse mais ne le dispensera pas d'examiner, en se fondant sur le droit matériel, la légitimation du cessionnaire. Si cet examen le conduit à nier, en</w:t>
      </w:r>
    </w:p>
    <w:p>
      <w:r>
        <w:t>- 6/7 -</w:t>
      </w:r>
    </w:p>
    <w:p>
      <w:r>
        <w:t>A/10/2019-CS application des règles sur l'abus de droit, cette légitimation, il rendra une décision constatant l'impossibilité d'exécuter le mandat procédural conféré par l'acte de cession (arrêt du Tribunal fédéral 5A_445/2018 du 21 décembre 2018 consid. 4.2.3).</w:t>
      </w:r>
    </w:p>
    <w:p>
      <w:r>
        <w:rPr>
          <w:b/>
        </w:rPr>
        <w:t>E. 2.2</w:t>
      </w:r>
    </w:p>
    <w:p>
      <w:r>
        <w:t>En l'espèce, le plaignant soutient que l'Office aurait dû annuler la cession des droits de la masse à l'intimée, au motif que cette dernière en serait elle-même la débitrice.</w:t>
      </w:r>
    </w:p>
    <w:p>
      <w:r>
        <w:t>Cet argument tombe à faux. En effet, dans le cas d'espèce, B______ SA n'est pas la débitrice des droits dont elle a requis la cession, puisque ceux-ci sont dirigés contre les anciens organes la faillie, d'ailleurs expressément désignés, soit D______, L______, M______ SA et N______ SA, qui sont des entités formellement distinctes.</w:t>
      </w:r>
    </w:p>
    <w:p>
      <w:r>
        <w:t>A cela s'ajoute que le plaignant n'avance aucun élément permettant de retenir que l'intimée chercherait concrètement à l'entraver dans l'exercice de ses prétentions.</w:t>
      </w:r>
    </w:p>
    <w:p>
      <w:r>
        <w:t>C'est pour le surplus au juge du fond qu'il incombera, le cas échéant, de déterminer si, au regard du droit matériel et en particulier de l'art. 2 CC, l'intimée est légitimée à agir en responsabilité.</w:t>
      </w:r>
    </w:p>
    <w:p>
      <w:r>
        <w:t>La plainte doit donc être rejetée.</w:t>
      </w:r>
    </w:p>
    <w:p>
      <w:r>
        <w:rPr>
          <w:b/>
        </w:rPr>
        <w:t>E. 3</w:t>
      </w:r>
    </w:p>
    <w:p>
      <w:r>
        <w:t>La procédure de plainte est gratuite (art. 20a al. 2 ch. 5 LP et art. 61 al. 2 let. a OELP) et il ne peut être alloué aucuns dépens (art. 62 al. 2 OELP).</w:t>
      </w:r>
    </w:p>
    <w:p>
      <w:r>
        <w:t>* * * * *</w:t>
      </w:r>
    </w:p>
    <w:p>
      <w:r>
        <w:t>- 7/7 -</w:t>
      </w:r>
    </w:p>
    <w:p>
      <w:r>
        <w:t>A/10/2019-CS PAR CES MOTIFS, La Chambre de surveillance : A la forme : Déclare recevable la plainte formée le 3 janvier 2019 par A______ contre le courrier de l'Office cantonal des faillites du 20 décembre 2018. Au fond : La rejette.</w:t>
      </w:r>
    </w:p>
    <w:p>
      <w:r>
        <w:t>Siégeant : Madame Verena PEDRAZZINI RIZZI, présidente; Messieurs Michel BERTSCHY et Mathieu HOWALD, juges assesseurs ;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