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DCSO/168/2021 vom 21. Dezember 2020</w:t>
      </w:r>
    </w:p>
    <w:p>
      <w:r>
        <w:t>GE Cour de justice, 2020-12-21, FR</w:t>
      </w:r>
    </w:p>
    <w:p>
      <w:r>
        <w:rPr>
          <w:b/>
        </w:rPr>
        <w:t xml:space="preserve">Quelle: </w:t>
      </w:r>
      <w:r>
        <w:t>https://mcp.opencaselaw.ch/entscheid/ge_gerichte_DCSO_168_2021</w:t>
      </w:r>
    </w:p>
    <w:p>
      <w:r>
        <w:t>FR: GE_GERICHTE DCSO/168/2021 du 21 décembre 2020</w:t>
      </w:r>
    </w:p>
    <w:p>
      <w:r>
        <w:t>IT: GE_GERICHTE DCSO/168/2021 del 21 dicembre 2020</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la plainte a été déposée dans les dix jours auprès de l'autorité compétente contre une mesure de l'Office, en principe sujette à plainte, soit une décision relative au changement de créancier (cf. BSK-SchKG, n° 14 ad art. 77 LP).</w:t>
      </w:r>
    </w:p>
    <w:p>
      <w:r>
        <w:t>Toutefois, il apparaît que la plaignante ne poursuit aucun but concret sur le plan de l'exécution forcée, le changement de créancier séquestrant ayant été annoncé après l'exécution du séquestre mais avant l'introduction d'une poursuite en validation de séquestre, de sorte que ce changement de créancier n'a pas fait partir le délai de dix jours de l'art. 77 LP, en l'absence d'une quelconque poursuite en cours. D'ailleurs, la plaignante n'a fait valoir aucune violation par l'Office de dispositions de la LP, les griefs soulevés relevant tous du droit matériel.</w:t>
      </w:r>
    </w:p>
    <w:p>
      <w:r>
        <w:t>Il s'ensuit que la plainte apparaît irrecevable. 2. En tout état de cause, il est douteux que l'art. 77 al. 5 LP, qui régit l'avis de changement de créancier, s'applique lorsque ce changement n'intervient pas dans le cadre d'une poursuite en cours. L'Office semble d'ailleurs s'en être rendu compte, dès lors qu'il a annulé l'avis notifié le 28 janvier 2021.</w:t>
      </w:r>
    </w:p>
    <w:p>
      <w:r>
        <w:t>De plus, pour ne pas préjuger les décisions des tribunaux, l'examen de la cession par les autorités de poursuite ne peut qu'être sommaire. Cet examen se rapporte, d'une part, à la validité de la cession quant à la forme, et, d'autre part, à la question de savoir s'il existe manifestement de sérieuses raisons de douter de la validité de la cession quant au fond, en particulier si la cession se trouve entachée d'erreur manifeste ou si le débiteur soulève contre sa validité une exception de portée décisive et évidente. Si le résultat est incertain, l'office doit admettre la vocation du cessionnaire qui a justifié de ses qualités à la forme, sous réserve pour le débiteur de faire opposition (ATF 91 III 7, JdT 1965 II 43).</w:t>
      </w:r>
    </w:p>
    <w:p>
      <w:r>
        <w:t>- 4/5 -</w:t>
      </w:r>
    </w:p>
    <w:p>
      <w:r>
        <w:t>A/671/2021-CS</w:t>
      </w:r>
    </w:p>
    <w:p>
      <w:r>
        <w:t>Or, dans le cas d'espèce, sur la base des éléments fournis, soit en particulier l'acte de cession, l'Office n'avait pas de raisons de douter de la validité de la cession quant à la forme ou au fond. Il appartiendra le cas échéant au juge civil de décider si la présence d'une clause de confidentialité dans les contrats passés entre A______ et C______ SA pourrait valoir interdiction de cession conventionnelle au sens de l'art. 164 CO, comme l'allègue la plaignante.</w:t>
      </w:r>
    </w:p>
    <w:p>
      <w:r>
        <w:t>Aussi, à supposer qu'elle soit recevable, la plainte doit être rejetée.</w:t>
      </w:r>
    </w:p>
    <w:p>
      <w:r>
        <w:rPr>
          <w:b/>
        </w:rPr>
        <w:t>E. 3</w:t>
      </w:r>
    </w:p>
    <w:p>
      <w:r>
        <w:t>La procédure de plainte est gratuite (art. 20a al. 2 ch. 5 LP et art. 61 al. 2 let. a OELP) et il ne peut être alloué aucuns dépens dans cette procédure (art. 62 al. 2 OELP).</w:t>
      </w:r>
    </w:p>
    <w:p>
      <w:r>
        <w:t>* * * * *</w:t>
      </w:r>
    </w:p>
    <w:p>
      <w:r>
        <w:t>- 5/5 -</w:t>
      </w:r>
    </w:p>
    <w:p>
      <w:r>
        <w:t>A/671/2021-CS PAR CES MOTIFS, La Chambre de surveillance : Rejette, dans la mesure de sa recevabilité, la plainte formée le 23 février 2021 par A______ contre la décision de l'Office cantonal des poursuites du 11 février 2021, séquestre n° 1______.</w:t>
      </w:r>
    </w:p>
    <w:p>
      <w:r>
        <w:t>Siégeant : Madame Verena PEDRAZZINI RIZZI, présidente; Madame Ekaterine BLINOVA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