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DCSO/168/2018 vom 18. September 2017</w:t>
      </w:r>
    </w:p>
    <w:p>
      <w:r>
        <w:t>GE Cour de justice, 2017-09-18, FR</w:t>
      </w:r>
    </w:p>
    <w:p>
      <w:r>
        <w:rPr>
          <w:b/>
        </w:rPr>
        <w:t xml:space="preserve">Quelle: </w:t>
      </w:r>
      <w:r>
        <w:t>https://mcp.opencaselaw.ch/entscheid/ge_gerichte_DCSO_168_2018</w:t>
      </w:r>
    </w:p>
    <w:p>
      <w:r>
        <w:t>FR: GE_GERICHTE DCSO/168/2018 du 18 septembre 2017</w:t>
      </w:r>
    </w:p>
    <w:p>
      <w:r>
        <w:t>IT: GE_GERICHTE DCSO/168/2018 del 18 settembre 2017</w:t>
      </w:r>
    </w:p>
    <w:p>
      <w:pPr>
        <w:pStyle w:val="Heading2"/>
      </w:pPr>
      <w:r>
        <w:t>Erwägungen</w:t>
      </w:r>
    </w:p>
    <w:p>
      <w:r>
        <w:rPr>
          <w:b/>
        </w:rPr>
        <w:t>E. 1.1</w:t>
      </w:r>
    </w:p>
    <w:p>
      <w:r>
        <w:t>La Chambre de surveillance est compétente pour statuer sur les plaintes formées en application de la LP (art. 13 LP ; 125 et 126 LOJ;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2005, n. 25 et 26 ad art. 17 LP; DIETH/WOHL, in KUKO SchKG, 2ème éd., 2014, n. 11 et 12 ad art. 17 LP). La plainte doit être déposée, sous forme écrite et motivée (art. 9 al. 1 et 2 LaLP; 65 al. 1 et 2 LPA, applicable par renvoi de l'art. 9 al. 4 LaLP), dans les dix jours de celui où le plaignant a eu connaissance de la mesure (art. 17 al. 2 LP).</w:t>
      </w:r>
    </w:p>
    <w:p>
      <w:r>
        <w:rPr>
          <w:b/>
        </w:rPr>
        <w:t>E. 1.2</w:t>
      </w:r>
    </w:p>
    <w:p>
      <w:r>
        <w:t>En l'espèce, la plainte est écrite et motivée. Elle a en outre été formée par la créancière, susceptible d'être touchée dans ses intérêts, dans les dix jours suivant la délivrance du procès-verbal de non-lieu de séquestre n° 17 xxxx71 N, soit une mesure sujette à plainte, de sorte qu'elle est recevable.</w:t>
      </w:r>
    </w:p>
    <w:p>
      <w:r>
        <w:rPr>
          <w:b/>
        </w:rPr>
        <w:t>E. 2</w:t>
      </w:r>
    </w:p>
    <w:p>
      <w:r>
        <w:t>La plaignante conteste le non-lieu de séquestre en mains de C______ SA visant les droits de B______ découlant de sa qualité d'actionnaire de cette société. Elle conclut à ce que l'Office rende un nouveau procès-verbal constatant que le séquestre a porté sur ces droits et qu'il somme la société d'émettre les actions souscrites par le débiteur le 17 octobre 2016.</w:t>
      </w:r>
    </w:p>
    <w:p>
      <w:r>
        <w:rPr>
          <w:b/>
        </w:rPr>
        <w:t>E. 2.1</w:t>
      </w:r>
    </w:p>
    <w:p>
      <w:r>
        <w:t>Selon la jurisprudence,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en appliquant par</w:t>
      </w:r>
    </w:p>
    <w:p>
      <w:r>
        <w:t>- 5/9 -</w:t>
      </w:r>
    </w:p>
    <w:p>
      <w:r>
        <w:t>A/3810/2017-CS analogie les art. 91 à 109 LP relatifs à la saisie (art. 275 LP). Sa décision doit être entreprise par la voie de la plainte (art. 17 LP) auprès de l'autorité de surveillance (ATF 142 III 291 consid. 2.1 et les références citées). Les griefs concernant les conditions de fond du séquestre doivent donc être soulevés dans la procédure d'opposition et ceux concernant l'exécution du séquestre dans la procédure de plainte. Plus singulièrement, les compétences des offices et des autorités de poursuite portent notamment, en vertu du renvoi de l'art. 275 LP, sur les mesures proprement dites d'exécution, soit celles concernant la saisissabilité des biens visés par l'ordonnance de séquestre (art. 92 ss LP), l'ordre de la saisie (art. 95 ss LP), la sauvegarde des biens saisis (art. 98 ss LP) et la procédure de revendication (art. 106 ss LP). Elles visent aussi le contrôle de la régularité formelle de l'ordonnance de séquestre (ATF 142 III 291 consid. 2.1 et les références citées), laquelle devra énoncer les objets à séquestrer (art. 274 al. 2 ch. 4 LP), en les désignant de manière précise (STOFFEL/CHABLOZ, in CR LP, 2005, n. 10 ad art. 274 LP; MEIER-DIETERLE, in KUKO SchKG, op. cit., n. 7 ad art. 274 LP). Dans la mesure où il peut être difficile pour le créancier de désigner avec précision les biens à séquestrer lorsque le séquestre doit s'appliquer à un ensemble de biens ou aux avoirs bancaires du débiteur poursuivi, la jurisprudence admet qu'un séquestre soit ordonné et exécuté sur des biens désignés par leur genre seulement, à la condition toutefois que l'ordonnance indique leur lieu de situation ou la personne qui les détient. On parle alors de séquestre générique ("Gattungsarrest"; ATF 142 III 291 consid. 5.1 et les références citées). L'Office ne peut pas séquestrer un actif qui n'est pas mentionné dans l'ordonnance de séquestre, sous peine de nullité (OCHSNER, Exécution du séquestre, in JdT 2006 II 77 ss, 93 et les références citées). 2.2.1 Les créances qui ne sont pas incorporées dans un papier-valeur peuvent être séquestrées au domicile suisse du titulaire du droit en cause – le débiteur séquestré – ou, lorsque celui-ci est domicilié à l'étranger (art. 271 al. 1 ch. 4 LP), au domicile en Suisse du tiers débiteur. Les actions (art. 683 et 684 CO) ou certificats d'actions (ATF 86 II 95 consid. 3) émis par une société anonyme constituent des titres incorporant les droits des actionnaires à l'égard de ladite société : ces droits sont donc saisis, respectivement séquestrés, par la saisie ou le séquestre des titres. Lorsqu'aucun titre n'a été émis, le souscripteur, respectivement l'actionnaire, n'en possède pas moins à l'égard de la société les droits découlant de cette qualité. Ces droits peuvent être saisis au titre de créances (ATF 77 III 87). Ils peuvent en conséquence également être séquestrés, pour autant que l'ordonnance de séquestre les mentionne parmi les</w:t>
      </w:r>
    </w:p>
    <w:p>
      <w:r>
        <w:t>- 6/9 -</w:t>
      </w:r>
    </w:p>
    <w:p>
      <w:r>
        <w:t>A/3810/2017-CS objets à séquestrer (arrêt du Tribunal fédéral 5A_824/2010 du 5 juillet 2011 consid. 3). Dans l'arrêt 5A_824/2010 précité, auquel l'Office s'est référé dans ses observations, le Tribunal fédéral a en particulier relevé ce qui suit : "La juridiction précédente a retenu que l'Office n'avait pu saisir les actions de « Y.__ au Venezuela », le poursuivi ayant déclaré que cette société n'en avait pas émises. Les recourants critiquent cette opinion, affirmant que les « droits d'un actionnaire non incorporés dans un papier-valeur peuvent être saisis en mains de l'actionnaire ». 3.2 D'après la jurisprudence, l'actionnaire acquiert en vertu de la souscription des droits susceptibles d'être saisis; ceux-ci étant acquis avant la remise des titres qui les incorporent, il faut, en pareil cas, saisir ces droits eux-mêmes, conformément à la procédure applicable à la saisie des créances (cf. ATF 77 III 87 p. 91; 88 III 140 consid. 2b; 92 III 20 consid. 3). En soi, le raisonnement des recourants serait exact. Toutefois, ils ont expressément conclu à la saisie des « actions de la société vénézuélienne », à savoir des titres eux-mêmes. Comme il est constant que ladite société n'a pas émis d'actions (art. 105 al. 1 LTF), c'est avec raison que – indépendamment de la question du for (cf. ATF 99 III 18 consid. 4) – l'autorité précédente a refusé de donner suite à un tel chef de conclusions (cf. ATF 88 III 140 consid. 2b; 98 III 74 consid. 2b)."</w:t>
      </w:r>
    </w:p>
    <w:p>
      <w:r>
        <w:t>2.2.2 Lorsque la saisie porte sur une créance ou un autre droit non constaté par un titre au porteur ou transmissible par endossement, le préposé prévient le tiers débiteur que désormais il ne pourra plus s'acquitter qu'en mains de l'office (art. 99 LP). L'avis envoyé au tiers débiteur au sens de cette disposition, également applicable au séquestre en vertu du renvoi de l'art. 275 LP, est une mesure de sûreté qui lui fait interdiction de se libérer en mains de son créancier – à savoir le débiteur saisi ou séquestré –, au risque de s'exposer à devoir payer deux fois et sous la menace de sanctions pénales que l'office doit lui rappeler (cf. art. 91 al. 6 LP; OCHSNER, op. cit., p. 96, 104). L'art. 99 LP ne vise que les créances qui sont incorporées dans un titre au porteur ou à ordre, alors que l'art. 98 LP vise les créances matérialisées dans un tel titre. Le souscripteur d'actions acquiert, du seul fait de la souscription, des droits susceptibles d'être saisis ou séquestrés; si lors de l'exécution de la saisie ou du séquestre, le souscripteur n'a pas encore reçu les actions ou les certificats intermédiaires qui leur reviennent, l'office des poursuites doit saisir, ou séquestrer, les droits découlant de la qualité d'actionnaire et prévenir la société que c'est à ses risques et périls qu'elle remettrait ces titres à un autre que lui, mais sans pouvoir la sommer d'émettre les certificats intermédiaires à seule fin de les mettre sous mains de justice (GILLIERON, Commentaire LP, n. 40, 43 ad. art. 98 LP).</w:t>
      </w:r>
    </w:p>
    <w:p>
      <w:r>
        <w:t>- 7/9 -</w:t>
      </w:r>
    </w:p>
    <w:p>
      <w:r>
        <w:t>A/3810/2017-CS</w:t>
      </w:r>
    </w:p>
    <w:p>
      <w:r>
        <w:rPr>
          <w:b/>
        </w:rPr>
        <w:t>E. 2.3</w:t>
      </w:r>
    </w:p>
    <w:p>
      <w:r>
        <w:t>En l'occurrence, il n'est pas contesté que le débiteur séquestré s'est vu céder 40 actions de C______ SA et qu'il dispose donc envers elle des droits découlant de la souscription de ces actions, lesquelles n'ont pas été incorporées dans un papier-valeur. Le litige porte sur la question de savoir si l'ordonnance de séquestre mentionne ces droits parmi les objets à séquestrer. Contrairement à ce que soutient l'Office, les circonstances du cas d'espèce sont différentes de celles examinées dans l'arrêt 5A_824/2010 déjà cité (cf. supra consid. 2.2.1). En effet, l'ordonnance de séquestre du 31 juillet 2017 ne vise pas les "actions" – soit les titres physiques déjà matérialisés – de C______ SA, mais porte sur les parts [sociales] détenues par le débiteur dans cette société, ainsi que sur "toutes créances" qu'il détient à son endroit. Cette formulation, certes générique, est néanmoins admise par la jurisprudence si l'ordonnance de séquestre indique le lieu de situation des biens ou la personne qui les détient. Dans le cas présent, l'ordonnance désigne tout à la fois les parts sociales et les créances du débiteur envers la société; une telle juxtaposition doit être comprise comme se référant non seulement aux papiers-valeur en tant qu'objets mobiliers, mais également, dans l'hypothèse où les 40 actions souscrites par le débiteur n'auraient pas été matérialisées dans des titres, aux droits que le débiteur détient à l'encontre de la société du fait de cette souscription. Les objets à séquestrer sont donc suffisamment individualisés et se situent au siège genevois de C______ SA vu que le débiteur séquestré est domicilié à l'étranger. Partant, il y a lieu d'admettre que les biens à séquestrer mentionnés dans l'ordonnance litigieuse incluent les droits que le débiteur a acquis à l'encontre du tiers débiteur en souscrivant 40 actions par convention du 17 octobre 2016. Faute d'émission des actions litigieuses, c'est à bon droit que l'Office a adressé au tiers débiteur l'avis prévu à l'art. 99 LP, lequel est applicable au séquestre de créances non incorporées dans un titre au porteur (cf. ég. arrêt du Tribunal fédéral 5A_731/2016 du 20 décembre 2016 consid. 4.1 et la jurisprudence citée). En revanche, l'Office n'a pas à sommer le tiers débiteur d'émettre les actions à seule fin de les mettre sous mains de justice. Par conséquent, la plainte sera admise en tant qu'elle vise l'annulation de la décision attaquée et l'établissement d'un procès-verbal constatant que le séquestre a porté sur les droits du débiteur résultant des actions qu'il a souscrites en date du 17 octobre 2016. Elle sera rejetée pour le surplus.</w:t>
      </w:r>
    </w:p>
    <w:p>
      <w:r>
        <w:rPr>
          <w:b/>
        </w:rPr>
        <w:t>E. 2.4</w:t>
      </w:r>
    </w:p>
    <w:p>
      <w:r>
        <w:t>Finalement, la Chambre de céans n'entrera pas en matière sur les griefs soulevés par B______ au sujet des prétentions que la plaignante invoque à son égard. Ceux-ci portent en effet sur l'existence et sur l'étendue de la créance séquestrée, ce qui relève de la compétence du juge ordinaire (respectivement du</w:t>
      </w:r>
    </w:p>
    <w:p>
      <w:r>
        <w:t>- 8/9 -</w:t>
      </w:r>
    </w:p>
    <w:p>
      <w:r>
        <w:t>A/3810/2017-CS juge du séquestre si le bien-fondé du séquestre est contesté), et non de l'autorité de surveillance. Pour le surplus, la Chambre de céans n'a pas été saisie d'une plainte portant sur l'assiette du séquestre, laquelle ne paraît pas excessive prima facie, de sorte que cette question n'a pas non plus à être examinée.</w:t>
      </w:r>
    </w:p>
    <w:p>
      <w:r>
        <w:rPr>
          <w:b/>
        </w:rPr>
        <w:t>E. 3</w:t>
      </w:r>
    </w:p>
    <w:p>
      <w:r>
        <w:t>La procédure de plainte est gratuite (art. 20a al. 2 ch. 5 LP et art. 61 al. 2 let. a OELP) et il ne peut être alloué aucun dépens (art. 62 al. 2 OELP). * * * * *</w:t>
      </w:r>
    </w:p>
    <w:p>
      <w:r>
        <w:t>- 9/9 -</w:t>
      </w:r>
    </w:p>
    <w:p>
      <w:r>
        <w:t>A/3810/2017-CS</w:t>
      </w:r>
    </w:p>
    <w:p>
      <w:r>
        <w:t>PAR CES MOTIFS, La Chambre de surveillance : A la forme : Déclare recevable la plainte formée le 18 septembre 2017 par A______ SA contre le procès-verbal de non-lieu de séquestre n° 17 xxxx71 N du 5 septembre 2017. Au fond : L'admet partiellement. Annule le procès-verbal de non-lieu de séquestre n° 17 xxxx71 N. Invite l'Office des poursuites à établir un procès-verbal constatant que le séquestre a porté sur les droits de B______ envers C______ SA résultant des actions qu'il a souscrites par convention du 17 octobre 2016. Déboute les parties de toutes autres conclusions. Siégeant : Madame Nathalie RAPP, présidente; Madame Natalie OPPATJA et Monsieur Denis KELLER, juges assesseur(e)s;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