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DCSO/167/2018 vom 13. Dezember 2017</w:t>
      </w:r>
    </w:p>
    <w:p>
      <w:r>
        <w:t>GE Cour de justice, 2017-12-13, FR</w:t>
      </w:r>
    </w:p>
    <w:p>
      <w:r>
        <w:rPr>
          <w:b/>
        </w:rPr>
        <w:t xml:space="preserve">Quelle: </w:t>
      </w:r>
      <w:r>
        <w:t>https://mcp.opencaselaw.ch/entscheid/ge_gerichte_DCSO_167_2018</w:t>
      </w:r>
    </w:p>
    <w:p>
      <w:r>
        <w:t>FR: GE_GERICHTE DCSO/167/2018 du 13 décembre 2017</w:t>
      </w:r>
    </w:p>
    <w:p>
      <w:r>
        <w:t>IT: GE_GERICHTE DCSO/167/2018 del 13 dicembre 2017</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en l'espèce la notification du commandement de payer - sujette à plainte.</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w:t>
      </w:r>
    </w:p>
    <w:p>
      <w:r>
        <w:t>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w:t>
      </w:r>
    </w:p>
    <w:p>
      <w:r>
        <w:t>- 5/6 -</w:t>
      </w:r>
    </w:p>
    <w:p>
      <w:r>
        <w:t>A/4921/2017-CS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w:t>
      </w:r>
    </w:p>
    <w:p>
      <w:r>
        <w:t>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w:t>
      </w:r>
    </w:p>
    <w:p>
      <w:r>
        <w:t>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w:t>
      </w:r>
    </w:p>
    <w:p>
      <w:r>
        <w:rPr>
          <w:b/>
        </w:rPr>
        <w:t>E. 2.2</w:t>
      </w:r>
    </w:p>
    <w:p>
      <w:r>
        <w:t>En l'espèce, la poursuite querellée s'inscrit dans le cadre d'un litige opposant la Banque à son ex-employée, la première reprochant à la seconde de lui avoir fait perdre une partie de sa clientèle, en violation de ses obligations contractuelles, ce qui avait entraîné un préjudice financier de 2'127'878 fr. en capital. Or, l'examen du bien-fondé de cette prétention ne relève pas de la compétence de la Chambre de surveillance, mais de celle du juge ordinaire, soit en l'occurrence le juge prud'homal, lequel a déjà été saisi par la Banque, au stade de la conciliation, d'une demande en paiement et en mainlevée définitive de l'opposition.</w:t>
      </w:r>
    </w:p>
    <w:p>
      <w:r>
        <w:t>Dans ce contexte, les éléments figurant au dossier ne permettent pas de retenir, de façon patente, que la poursuivante entend utiliser la voie de l'exécution forcée pour recouvrer des créances totalement inexistantes ou fantaisistes. De même, aucun indice sérieux n'indique que la poursuivante agirait dans l'unique but de tourmenter gratuitement la plaignante.</w:t>
      </w:r>
    </w:p>
    <w:p>
      <w:r>
        <w:t>Il suit de là que la poursuite ne peut pas être considérée comme abusive au sens de l'art. 2 al. 2 CC.</w:t>
      </w:r>
    </w:p>
    <w:p>
      <w:r>
        <w:t>La plainte sera dès lors rejetée.</w:t>
      </w:r>
    </w:p>
    <w:p>
      <w:r>
        <w:rPr>
          <w:b/>
        </w:rPr>
        <w:t>E. 3</w:t>
      </w:r>
    </w:p>
    <w:p>
      <w:r>
        <w:t>La procédure de plainte est gratuite (art. 20a al. 2 ch. 5 LP et art. 61 al. 2 let. a OELP) et il ne peut être alloué aucun dépens (art. 62 al. 2 OELP). * * * * *</w:t>
      </w:r>
    </w:p>
    <w:p>
      <w:r>
        <w:t>- 6/6 -</w:t>
      </w:r>
    </w:p>
    <w:p>
      <w:r>
        <w:t>A/4921/2017-CS PAR CES MOTIFS, La Chambre de surveillance : A la forme : Déclare recevable la plainte formée le 13 décembre 2017 par A______ contre le commandement de payer, poursuite n° 17 xxxx49 W. Au fond : La rejette. Siégeant : Madame Nathalie RAPP, présidente; Madame Natalie OPPATJA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