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DCSO/166/2021 vom 6. Mai 2021</w:t>
      </w:r>
    </w:p>
    <w:p>
      <w:r>
        <w:t>GE Cour de justice, 2021-05-06, FR</w:t>
      </w:r>
    </w:p>
    <w:p>
      <w:r>
        <w:rPr>
          <w:b/>
        </w:rPr>
        <w:t xml:space="preserve">Quelle: </w:t>
      </w:r>
      <w:r>
        <w:t>https://mcp.opencaselaw.ch/entscheid/ge_gerichte_DCSO_166_2021</w:t>
      </w:r>
    </w:p>
    <w:p>
      <w:r>
        <w:t>FR: GE_GERICHTE DCSO/166/2021 du 6 mai 2021</w:t>
      </w:r>
    </w:p>
    <w:p>
      <w:r>
        <w:t>IT: GE_GERICHTE DCSO/166/2021 del 6 maggio 2021</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plainte a certes été déposée dans les dix jours auprès de l'autorité compétente contre une mesure de l'Office, soit un avis de saisie, qui est en principe sujette à plainte (arrêt du Tribunal fédéral 7B.97/2003 du 6 mai 2003; BK-SchKG, n° 21 ad art. 90 LP).</w:t>
      </w:r>
    </w:p>
    <w:p>
      <w:r>
        <w:t>Toutefois, le plaignant n'invoque aucun grief contre l'avis de saisie attaqué. Il dirige en réalité sa contestation contre la créance en poursuite et le comportement des poursuivants, soit un contentieux qui n'est pas du ressort de la Chambre de surveillance.</w:t>
      </w:r>
    </w:p>
    <w:p>
      <w:r>
        <w:t>Il résulte en outre du procès-verbal de saisie, valant acte de défaut de biens, établi le 1er mars 2021 dans la poursuite considérée, que l'Office n'a constaté chez le plaignant aucun bien ou revenu saisissables. L'on ne voit dès lors pas que ce dernier disposerait d'un intérêt digne de protection à se plaindre de la saisie.</w:t>
      </w:r>
    </w:p>
    <w:p>
      <w:r>
        <w:t>La plainte est partant irrecevable.</w:t>
      </w:r>
    </w:p>
    <w:p>
      <w:r>
        <w:rPr>
          <w:b/>
        </w:rPr>
        <w:t>E. 1.3</w:t>
      </w:r>
    </w:p>
    <w:p>
      <w:r>
        <w:t>En tant que la plainte serait dirigée contre la continuation directe de la poursuite par voie de saisie, fondée sur le certificat d'insuffisance de gage, force est de constater que le plaignant ne formule aucun grief à cet égard, même implicite. Les conditions posées à l'art. 158 al. 2 LP apparaissent au surplus réalisées, les créanciers ayant agi dans le mois dès la réception du certificat d'insuffisance de gage, de sorte qu'ils étaient dispensés du commandement de payer.</w:t>
      </w:r>
    </w:p>
    <w:p>
      <w:r>
        <w:t>Aussi, à supposer qu'elle soit recevable, la plainte doit être rejetée. 2. La procédure de plainte est gratuite (art. 20a al. 2 ch. 5 LP; art. 61 al. 2 let. a OELP) et ne donne pas lieu à l'allocation de dépens (art. 62 al. 2 OELP).</w:t>
      </w:r>
    </w:p>
    <w:p>
      <w:r>
        <w:t>Quand même la plainte, dénuée de toute chance de succès, frise la témérité, la Chambre de céans renoncera à infliger une amende au plaignant, qui comparaît en personne, faute de dessein avéré d'agir de façon contraire à la bonne foi. * * * * *</w:t>
      </w:r>
    </w:p>
    <w:p>
      <w:r>
        <w:t>- 4/4 -</w:t>
      </w:r>
    </w:p>
    <w:p>
      <w:r>
        <w:t>A/518/2021-CS PAR CES MOTIFS, La Chambre de surveillance : Rejette, dans la mesure où elle est recevable, la plainte formée le 15 février 2021 par A______ dans la poursuite n° 2______. Siégeant : Madame Verena PEDRAZZINI RIZZI, présidente; Madame Ekaterine BLINOVA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La plainte doit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139 III 384 consid. 2.1; ATF 138 III 219 consid. 2.3; 120 II 5 consid. 2a, JT 1995 I 189).</w:t>
      </w:r>
    </w:p>
    <w:p>
      <w:r>
        <w:t>- 3/4 -</w:t>
      </w:r>
    </w:p>
    <w:p>
      <w:r>
        <w:t>A/518/2021-CS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