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DCSO/165/2015 vom 6. Mai 2015</w:t>
      </w:r>
    </w:p>
    <w:p>
      <w:r>
        <w:t>GE Cour de justice, 2015-05-06, FR</w:t>
      </w:r>
    </w:p>
    <w:p>
      <w:r>
        <w:rPr>
          <w:b/>
        </w:rPr>
        <w:t xml:space="preserve">Quelle: </w:t>
      </w:r>
      <w:r>
        <w:t>https://mcp.opencaselaw.ch/entscheid/ge_gerichte_DCSO_165_2015</w:t>
      </w:r>
    </w:p>
    <w:p>
      <w:r>
        <w:t>FR: GE_GERICHTE DCSO/165/2015 du 6 mai 2015</w:t>
      </w:r>
    </w:p>
    <w:p>
      <w:r>
        <w:t>IT: GE_GERICHTE DCSO/165/2015 del 6 maggio 2015</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3</w:t>
      </w:r>
    </w:p>
    <w:p>
      <w:r>
        <w:t>La procédure de plainte est gratuite (art. 20a al. 2 ch. 5 LP) et il ne peut être alloué de dépens (art. 62 al. 2 OELP). * * * * *</w:t>
      </w:r>
    </w:p>
    <w:p>
      <w:r>
        <w:t>- 5/5 -</w:t>
      </w:r>
    </w:p>
    <w:p>
      <w:r>
        <w:t>A/619/2015-CS PAR CES MOTIFS, La Chambre de surveillance : A la forme : Déclare recevable la plainte formée le 23 février 2015 par M. D_______ contre le commandement de payer poursuite n° 14 xxxx49 X. Au fond : Admet la plainte. Dit que l'Office doit rectifier son registre ainsi que le commandement de payer poursuite n° 14 xxxx49 X en indiquant que M. D_______ n'est pas représenté par un mandataire et que son domicile élu en Suisse se trouve chez Me Yves MAGNIN, rue de la Rôtisserie 2, 1211 Genève 3. Siégeant : Madame Florence KRAUSKOPF, présidente; Monsieur Philipp GANZONI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