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DCSO/164/2014 vom 22. April 2009</w:t>
      </w:r>
    </w:p>
    <w:p>
      <w:r>
        <w:t>GE Cour de justice, 2009-04-22, FR</w:t>
      </w:r>
    </w:p>
    <w:p>
      <w:r>
        <w:rPr>
          <w:b/>
        </w:rPr>
        <w:t xml:space="preserve">Quelle: </w:t>
      </w:r>
      <w:r>
        <w:t>https://mcp.opencaselaw.ch/entscheid/ge_gerichte_DCSO_164_2014</w:t>
      </w:r>
    </w:p>
    <w:p>
      <w:r>
        <w:t>FR: GE_GERICHTE DCSO/164/2014 du 22 avril 2009</w:t>
      </w:r>
    </w:p>
    <w:p>
      <w:r>
        <w:t>IT: GE_GERICHTE DCSO/164/2014 del 22 aprile 2009</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l'état de collocation a été déposé le 25 mars 2014. Expédiée le 4 avril 2014, selon les formes prescrites par la loi (art. 9 al. 1 LaLP et art. 65 al. 1 et 2 LPA applicable par renvoi de l'art. 9 al. 4 LaLP), la plainte a été formée en temps utile. La présente plainte est dès lors recevable. 2. 2.1 L'administration de la faillite, en l'occurrence l'Office, doit, sur la base de la liste des productions (art. 244 LP), prendre pour chaque prétention une décision quant au montant admis et au rang à lui assigner, et l'inscrire dans l'état de collocation. A la suite de chaque production, mention est faite de la décision prise par l'administration sur son admission ou son rejet. Selon l'art. 247 LP, l'état de collocation doit être dressé dans les soixante jours qui suivent l'expiration du délai pour les productions. Il doit contenir en principe une décision au sujet de chaque créance produite, de manière à permettre une vue</w:t>
      </w:r>
    </w:p>
    <w:p>
      <w:r>
        <w:t>- 5/8 -</w:t>
      </w:r>
    </w:p>
    <w:p>
      <w:r>
        <w:t>A/1005/2014-CS d'ensemble. Si, exceptionnellement l'administration de la faillite n'est pas encore en mesure de statuer sur une production, elle est autorisée, en vertu de l'art. 59 al. 3 OAOF, à surseoir à statuer sur une production et à compléter ultérieurement l'état de collocation ou à suspendre le dépôt de cet acte. Elle ne peut toutefois procéder de la sorte qu'en présence d'obstacles sérieux ou de difficultés sérieuses (GILLIERON, op. cit., ad art. 247 n. 25 et les réf. citées). 2.2 En vertu de l'art. 61 LTF, les arrêts du Tribunal fédéral acquièrent force de chose jugée le jour où ils sont prononcés. Ils sont définitifs et ne sont pas susceptibles d'un recours ordinaire sur le plan interne. Ils ne peuvent être modifiés que par la voie extraordinaire de la révision (art. 121 ss LTF; arrêts du Tribunal fédéral 1F_25/2013 du 14 août 2013 consid. 1; 1F_31/2010 du 7 janvier 2011, consid. 2). La saisine de la Cour européenne des droits de l'homme n'est pas une voie de droit ordinaire et ne remet pas en cause le caractère exécutoire des arrêts du Tribunal fédéral (FRESARD, in Commentaire de la LTF, Corboz et al [éd], 2e éd, 2014, n. 8 ad art. 61 LTF; DONZALLAZ, Loi sur le Tribunal Fédéral, Commentaire, 2008, n. 1681). Un arrêt de la Cour européenne des droits de l'homme n'entraîne jamais l'annulation d'un arrêt du Tribunal fédéral. Une violation de la Convention européenne de sauvegarde des droits de l'homme et des libertés fondamentales du</w:t>
      </w:r>
    </w:p>
    <w:p>
      <w:r>
        <w:rPr>
          <w:b/>
        </w:rPr>
        <w:t>E. 3</w:t>
      </w:r>
    </w:p>
    <w:p>
      <w:r>
        <w:t>et 7 al. 1 LaLP), contre des mesures non attaquables par la voie judiciaire (art. 17 al. 1 LP). L'état de collocation peut être contesté par la voie de la plainte - et non par la voie de l'action en contestation de l'état de collocation au sens de l'art. 250 LP - s'il y a eu un vice de procédure lors de l'établissement de cet acte. En effet, les autorités de surveillance sont seules compétentes pour connaître des griefs visant la procédure suivie pour dresser et déposer l'état de collocation, à savoir pour déterminer ce qu'il peut ou doit contenir (GILLIERON, Commentaire de la loi fédérale sur la poursuite pour dettes et la faillite, 2001, ad art. 247 LP n° 48 et jurisprudences citées). En l'espèce, la plaignante, dont la qualité pour agir en tant que créancière de la faillie n'est pas contestée, se plaint d'un vice d'ordre formel, puisqu'elle reproche à l'Office, administrateur de la faillite, d'avoir suspendu la collocation de sa créance et réservé sa décision à ce sujet, en application de l'art. 59 al. 3 OAOF, plutôt que de l'y admettre sans réserve. La voie de la plainte contre cette mesure est ouverte.</w:t>
      </w:r>
    </w:p>
    <w:p>
      <w:r>
        <w:rPr>
          <w:b/>
        </w:rPr>
        <w:t>E. 4</w:t>
      </w:r>
    </w:p>
    <w:p>
      <w:r>
        <w:t>novembre 1950 (CEDH, RS 0.101) constatée par la Cour peut en revanche constituer un motif de révision, aux conditions de l'art. 122 LTF (FRÉSARD, loc. cit.; HEIMGARTNER/WIPRÄCHTIGER, Bundesgerichtgesetz, Basler Kommentar, n. 32 ad art. 61 LTF). 2.3 L'art. 122 LTF prévoit que la révision d'un arrêt du Tribunal fédéral pour violation de la CEDH peut être demandée lorsque sont cumulativement réunies les conditions suivantes: la Cour européenne des droits de l'homme a constaté, dans un arrêt définitif, une violation de la CEDH ou de ses protocoles (let. a), une indemnité n'est pas de nature à remédier aux effets de la violation (let. b) et la révision est nécessaire pour remédier aux effets de la violation (let. c). Concernant la deuxième condition, une réparation n'est généralement pas tenue pour suffisante lorsqu'une situation contraire au droit, telle qu'une condamnation pénale prononcée en violation de la CEDH, perdure. En revanche, la révision sera exclue si seuls des intérêts matériels restent en jeu (ATF 137 I 86 consid. 3.2.2; FERRARI, in Commentaire de la LTF, Corboz et al [éd], 2e éd, 2014, n. 9 ad art. 122 LTF). 2.4 En l'espèce, la plaignante fait principalement valoir que le recours adressé par Z______ SA, aujourd'hui en liquidation, à la Cour européenne des droits de l'homme n'a pas d'effet suspensif sur l'arrêt rendu par le Tribunal fédéral le 31 janvier 2011, lequel est exécutoire depuis son prononcé, de sorte que l'Office</w:t>
      </w:r>
    </w:p>
    <w:p>
      <w:r>
        <w:t>- 6/8 -</w:t>
      </w:r>
    </w:p>
    <w:p>
      <w:r>
        <w:t>A/1005/2014-CS aurait suspendu à tort la collocation des créances à titre de frais et dépens découlant de cet arrêt et de l'arrêt du Tribunal cantonal vaudois confirmé par l'arrêt du Tribunal fédéral. A cet égard, la Chambre de surveillance considère que, si ces prémisses sont exactes au regard des principes rappelés ci-dessus, l'absence d'effet suspensif et le caractère exécutoire de l'arrêt du Tribunal fédéral ne sauraient en l'espèce être à eux seuls déterminants. Quand bien même l'arrêt du Tribunal fédéral dont découle l'exigibilité des créances litigieuses est aujourd'hui exécutoire, il pourrait en effet se justifier de surseoir à la collocation desdites créances s'il apparaît avec une certaine vraisemblance que cet arrêt est susceptible d'être révisé, pour un motif donné. Il serait alors prématuré et inutile d'admettre les prétentions de la plaignante à l'état de collocation, si ces prétentions sont en définitive réduites ou niées. Une solution analogue est d'ailleurs prévue à l'art. 63 al. 3 OAOF pour les créances faisant lors de l'ouverture de la faillite l'objet d'un procès ordinaire, susceptible d'être continué par la masse ou par les créanciers individuellement. Tel n'est cependant pas le cas en l'espèce. L'Office, qui a sursis à statuer sur la collocation de la créance de la plaignante, l'a fait uniquement en raison du recours pendant devant la Cour européenne des droits de l'homme; il n'indique pas qu'il existerait un autre motif de révision de l'arrêt du Tribunal fédéral, au sens des art. 121 ss LTF. Or, il découle des dispositions et principes rappelés ci-dessus qu'une révision de l'arrêt en question pour cause de décision de la Cour européenne des droits de l'homme désavouant la Confédération helvétique ne pourrait être envisagée qu'à condition notamment qu'une indemnité ne soit pas de nature à remédier aux effets de la violation de la CEDH retenue. En l'occurrence, la faillie a cependant expressément admis devant la Cour européenne des droits de l'homme que son préjudice matériel pouvait être réparé moyennant paiement d'une indemnité de 25'225'000 fr.; elle a indiqué que son préjudice moral pourrait être réparé moyennant allocation d'autres sommes, encore indéterminées. Dans ces conditions, la Chambre de céans constate que, selon la faillie elle-même, les indemnités sollicitées devant la Cour européenne des droits de l'homme seraient de nature à remédier aux effets des violations dénoncées. Une révision de l'arrêt du Tribunal fédéral peut dès lors d'ores et déjà être exclue, les conditions posées par l'art. 122 LTF n'étant pas susceptibles d'être réalisées. Il s'ensuit que c'est en l'espèce à tort que l'Office a suspendu la collocation de la créance litigieuse, en application de l'art. 59 al. 3 OAOF. La procédure actuel- lement pendante devant la Cour européenne des droits de l'homme ne constitue pas un obstacle justifiant de surseoir à la collocation au sens de cette disposition. Par conséquent, la plainte sera admise et l'Office sera invité à statuer sur la collocation de la créance produite par la plaignante, dans le cadre d'un nouvel état de collocation.</w:t>
      </w:r>
    </w:p>
    <w:p>
      <w:r>
        <w:t>- 7/8 -</w:t>
      </w:r>
    </w:p>
    <w:p>
      <w:r>
        <w:t>A/1005/2014-CS 3. Conformément aux art. 20a al. 1 LP, 61 al. 2 let. a et 62 al. 2 OELP, il n’y a pas lieu de percevoir d’émolument de justice, ni d’allouer des dépens. * * * * *</w:t>
      </w:r>
    </w:p>
    <w:p>
      <w:r>
        <w:t>- 8/8 -</w:t>
      </w:r>
    </w:p>
    <w:p>
      <w:r>
        <w:t>A/1005/2014-CS PAR CES MOTIFS, La Chambre de surveillance : A la forme : Déclare recevable la plainte formée par M______ SA à l'encontre de l'état de collocation établi 25 mars 2014 par l'Office dans la faillite de Z______ SA et publié le même jour dans la FOSC. Au fond : Invite l'Office des faillites à établir un nouvel état de collocation rectifié conformément au considérant sous ch. 2.4 in fine de la présente décision. Siégeant : Mme Valérie LAEMMEL-JUILLARD, présidente; Madame Natalie OPPATJA et Monsieur Christian CHAVAZ,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