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DCSO/162/2012 vom 19. April 2012</w:t>
      </w:r>
    </w:p>
    <w:p>
      <w:r>
        <w:t>GE Cour de justice, 2012-04-19, FR</w:t>
      </w:r>
    </w:p>
    <w:p>
      <w:r>
        <w:rPr>
          <w:b/>
        </w:rPr>
        <w:t xml:space="preserve">Quelle: </w:t>
      </w:r>
      <w:r>
        <w:t>https://mcp.opencaselaw.ch/entscheid/ge_gerichte_DCSO_162_2012</w:t>
      </w:r>
    </w:p>
    <w:p>
      <w:r>
        <w:t>FR: GE_GERICHTE DCSO/162/2012 du 19 avril 2012</w:t>
      </w:r>
    </w:p>
    <w:p>
      <w:r>
        <w:t>IT: GE_GERICHTE DCSO/162/2012 del 19 aprile 2012</w:t>
      </w:r>
    </w:p>
    <w:p>
      <w:pPr>
        <w:pStyle w:val="Heading2"/>
      </w:pPr>
      <w:r>
        <w:t>Erwägungen</w:t>
      </w:r>
    </w:p>
    <w:p>
      <w:r>
        <w:rPr>
          <w:b/>
        </w:rPr>
        <w:t>E. 1.1</w:t>
      </w:r>
    </w:p>
    <w:p>
      <w:r>
        <w:t>La Chambre de céans est compétente pour statuer sur les plaintes formées en application de la LP (art. 13 LP; art. 125 et 126 LOJ; art. 6 al. 1 et 3 et 7 al. 1 LaLP) contre des mesures non attaquables par la voie judiciaire (art. 17 al. 1 LP).</w:t>
      </w:r>
    </w:p>
    <w:p>
      <w:r>
        <w:t>- 4/5 -</w:t>
      </w:r>
    </w:p>
    <w:p>
      <w:r>
        <w:t>A/308/2012-CS La plainte doit être déposée dans les dix jours de celui où le plaignant a eu connaissance de la mesure (art. 17 al. 3 LP).</w:t>
      </w:r>
    </w:p>
    <w:p>
      <w:r>
        <w:rPr>
          <w:b/>
        </w:rPr>
        <w:t>E. 1.2</w:t>
      </w:r>
    </w:p>
    <w:p>
      <w:r>
        <w:t>En l'espèce, le procès-verbal de saisie querellé est une mesure de l'Office sujette à plainte et la créancière poursuivante a qualité pour agir par cette voie.</w:t>
      </w:r>
    </w:p>
    <w:p>
      <w:r>
        <w:t>Formée en temps utile, sa plainte sera déclarée recevable.</w:t>
      </w:r>
    </w:p>
    <w:p>
      <w:r>
        <w:rPr>
          <w:b/>
        </w:rPr>
        <w:t>E. 2.1</w:t>
      </w:r>
    </w:p>
    <w:p>
      <w:r>
        <w:t>A teneur de l’art. 17 al. 4 LP, l’Office peut, jusqu’à l’envoi de sa réponse, procéder à un nouvel examen de la décision attaquée. S’il prend une nouvelle mesure, il la notifie sans délai aux parties et en donne connaissance à l’autorité de surveillance.</w:t>
      </w:r>
    </w:p>
    <w:p>
      <w:r>
        <w:rPr>
          <w:b/>
        </w:rPr>
        <w:t>E. 2.2</w:t>
      </w:r>
    </w:p>
    <w:p>
      <w:r>
        <w:t>En l'espèce, l'Office a, dans le délai qui lui avait été imparti pour déposer ses observations au sujet de la présente plainte, rectifié le procès-verbal querellé, quand bien même il n'est allé dans le sens requis par la plaignante, puisque le véhicule visé est resté insaisissable, toutefois non pas parce qu'il n'avait pas de valeur de réalisation mais parce qu'il paraissait indispensable au débiteur, dans l'exercice de sa profession indépendante. Il n'en reste pas moins qu'à la suite de cette nouvelle décision de l'Office prise dans le délai imparti par l'art. 17 al. 4 LP, la présente plainte est devenue sans objet, de sorte que la cause A/308/2012 doit être rayée du rôle.</w:t>
      </w:r>
    </w:p>
    <w:p>
      <w:r>
        <w:t>* * * * *</w:t>
      </w:r>
    </w:p>
    <w:p>
      <w:r>
        <w:t>- 5/5 -</w:t>
      </w:r>
    </w:p>
    <w:p>
      <w:r>
        <w:t>A/308/2012-CS</w:t>
      </w:r>
    </w:p>
    <w:p>
      <w:r>
        <w:t>PAR CES MOTIFS, La Chambre de surveillance : A la forme : Déclare recevable la plainte formée par la CAISSE CANTONALE GENEVOISE DE COMPENSATION contre le procès-verbal de saisie, série n° 11 xxxx63 S, qui lui a été expédié par l'Office des poursuites le 23 janvier 2012. Au fond : Constate que cette plainte est devenue sans objet en cours de procédure. Raye en conséquence du rôle la cause A/308/2012. Siégeant : Madame Valérie LAEMMEL-JUILLARD, présidente; Monsieur Philipp GANZONI et Monsieur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