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DCSO/158/2020 vom 14. Mai 2020</w:t>
      </w:r>
    </w:p>
    <w:p>
      <w:r>
        <w:t>GE Cour de justice, 2020-05-14, FR</w:t>
      </w:r>
    </w:p>
    <w:p>
      <w:r>
        <w:rPr>
          <w:b/>
        </w:rPr>
        <w:t xml:space="preserve">Quelle: </w:t>
      </w:r>
      <w:r>
        <w:t>https://mcp.opencaselaw.ch/entscheid/ge_gerichte_DCSO_158_2020</w:t>
      </w:r>
    </w:p>
    <w:p>
      <w:r>
        <w:t>FR: GE_GERICHTE DCSO/158/2020 du 14 mai 2020</w:t>
      </w:r>
    </w:p>
    <w:p>
      <w:r>
        <w:t>IT: GE_GERICHTE DCSO/158/2020 del 14 maggio 2020</w:t>
      </w:r>
    </w:p>
    <w:p>
      <w:pPr>
        <w:pStyle w:val="Heading2"/>
      </w:pPr>
      <w:r>
        <w:t>Regeste</w:t>
      </w:r>
    </w:p>
    <w:p>
      <w:r>
        <w:t>Résumé: Saisie: devoir d'investigation de l'OP.</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w:t>
      </w:r>
    </w:p>
    <w:p>
      <w:r>
        <w:t>- 4/7 -</w:t>
      </w:r>
    </w:p>
    <w:p>
      <w:r>
        <w:t>A/590/2020-CS comprendre les griefs soulevés par la partie plaignante ainsi que ce qu'elle demande (ERARD, op. cit., n° 32 et 33 ad art. 17 LP).</w:t>
      </w:r>
    </w:p>
    <w:p>
      <w:r>
        <w:rPr>
          <w:b/>
        </w:rPr>
        <w:t>E. 1.2</w:t>
      </w:r>
    </w:p>
    <w:p>
      <w:r>
        <w:t>En l'occurrence, la plainte est dirigée d'une part contre le constat fait par l'Office, après exécution d'une saisie, que le poursuivi ne disposait d'aucun actif saisissable, et donc contre l'établissement d'un procès-verbal de saisie valant acte de défaut de biens au sens de l'art. 115 al. 1 LP, et d'autre part contre des factures pour émoluments et frais de l'Office. Il s'agit bien là de mesures pouvant être contestées devant la Chambre de céans en application de l'art. 17 al. 1 LP. La plainte respecte pour le surplus les conditions de forme prescrites par la loi, émane d'un créancier poursuivant lésé ou susceptible de l'être dans ses intérêts juridiquement protégés et a été formée en temps utile.</w:t>
      </w:r>
    </w:p>
    <w:p>
      <w:r>
        <w:t>Elle est donc recevable.</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w:t>
      </w:r>
    </w:p>
    <w:p>
      <w:r>
        <w:t>La question de savoir si et dans quelle mesure l'enquête menée par l'Office est défectueuse et son résultat inexact ne doit être examinée qu'en ce qui concerne les éléments critiqués par le créancier dans sa plainte (cf. ATF 127 III 572 consid. 3c, JdT 2001 II 78).</w:t>
      </w:r>
    </w:p>
    <w:p>
      <w:r>
        <w:rPr>
          <w:b/>
        </w:rPr>
        <w:t>E. 2.2</w:t>
      </w:r>
    </w:p>
    <w:p>
      <w:r>
        <w:t>Il convient en premier lieu de constater dans le cas d'espèce que le plaignant, qui a requis la continuation de la poursuite le 19 mai 2019, avait vocation à participer de plein droit à la saisie exécutée – à la demande d'un ou de plusieurs autres poursuivants – le 9 mai 2019 (art. 110 al. 1 LP). C'est donc à cette date qu'il</w:t>
      </w:r>
    </w:p>
    <w:p>
      <w:r>
        <w:t>- 5/7 -</w:t>
      </w:r>
    </w:p>
    <w:p>
      <w:r>
        <w:t>A/590/2020-CS faut se placer pour apprécier si les investigations auxquelles a procédé l'Office avant de constater l'absence de biens saisissables ont ou non été suffisantes.</w:t>
      </w:r>
    </w:p>
    <w:p>
      <w:r>
        <w:t>Il résulte à cet égard du dossier que l'Office s'est rendu au domicile du débiteur et a constaté que celui-ci était hébergé – apparemment gratuitement – par ses parents. L'extrait de compte bancaire produit lors de son audition par le poursuivi n'a révélé aucun actif et les renseignements obtenus de la société dont il était associé gérant ont confirmé qu'il ne retirait plus aucun revenu de cette activité, ce que le plaignant admet être "possible". D'autres mesures d'instruction auraient certes été envisageables, telles l'obtention de la dernière déclaration d'impôts remplie par le débiteur, mais, compte tenu de l'évolution défavorable de son activité professionnelle au cours du premier semestre 2019, ayant conduit en juillet 2019 à la dissolution de la société dont il était organe, il paraît peu probable que cette démarche ait conduit à la découverte d'actifs saisissables. Il est par ailleurs aujourd'hui avéré que le débiteur n'a pas perçu de prestations de l'assurance chômage en 2019.</w:t>
      </w:r>
    </w:p>
    <w:p>
      <w:r>
        <w:t>Le plaignant lui-même ne précise pas dans sa plainte sur quels actifs la saisie aurait pu et dû porter ni quels actes d'investigation nécessaires auraient été omis, se bornant à estimer "tout à fait improbable" que le poursuivit n'ait ni revenu ni élément de fortune. Une telle appréciation subjective – au demeurant discutable au vu des conditions d'existence du débiteur, lequel paraissait dépendre financièrement de ses parents – n'est toutefois pas suffisante pour retenir que les investigations de l'Office auraient été insuffisantes compte tenu des circonstances de l'espèce.</w:t>
      </w:r>
    </w:p>
    <w:p>
      <w:r>
        <w:t>La plainte doit donc être rejetée sur ce point.</w:t>
      </w:r>
    </w:p>
    <w:p>
      <w:r>
        <w:rPr>
          <w:b/>
        </w:rPr>
        <w:t>E. 3.1</w:t>
      </w:r>
    </w:p>
    <w:p>
      <w:r>
        <w:t>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cf. notamment DCSO/597/2017 du 9 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w:t>
      </w:r>
    </w:p>
    <w:p>
      <w:r>
        <w:t>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w:t>
      </w:r>
    </w:p>
    <w:p>
      <w:r>
        <w:t>- 6/7 -</w:t>
      </w:r>
    </w:p>
    <w:p>
      <w:r>
        <w:t>A/590/2020-CS effectués par le débiteur ou le produit de la réalisation, l'Office devra en réclamer le paiement au créancier poursuivant, au besoin par une poursuite (ATF 62 III 14).</w:t>
      </w:r>
    </w:p>
    <w:p>
      <w:r>
        <w:rPr>
          <w:b/>
        </w:rPr>
        <w:t>E. 3.2</w:t>
      </w:r>
    </w:p>
    <w:p>
      <w:r>
        <w:t>En application des principes légaux et jurisprudentiels rappelés ci-dessus, les frais de poursuite liés à l'exécution de la saisie et à l'établissement et à l'envoi du procès-verbal de saisie valant acte de défaut de biens, dont la quotité n'est pas contestée, sont bien à la charge du plaignant. La plainte est donc mal fondée de ce point de vue également.</w:t>
      </w:r>
    </w:p>
    <w:p>
      <w:r>
        <w:rPr>
          <w:b/>
        </w:rPr>
        <w:t>E. 3.3</w:t>
      </w:r>
    </w:p>
    <w:p>
      <w:r>
        <w:t>Le plaignant conteste enfin le montant des frais mis en sa charge en relation avec la décision de rejet du 22 mai 2019, soutenant implicitement que ces frais devraient être inférieurs pour une décision de rejet partielle, telle que celle effectivement rendue, que pour une décision de rejet totale, telle que faussement indiquée dans le libellé de la facture. Cette conception est toutefois erronée, l'émolument pour une décision de ce type étant calculé selon le nombre de pages (art. 9 al. 1 OELP) et les débours liés à l'envoi d'un pli recommandé étant les mêmes.</w:t>
      </w:r>
    </w:p>
    <w:p>
      <w:r>
        <w:t>La plainte doit donc être rejetée sur ce point également.</w:t>
      </w:r>
    </w:p>
    <w:p>
      <w:r>
        <w:rPr>
          <w:b/>
        </w:rPr>
        <w:t>E. 4</w:t>
      </w:r>
    </w:p>
    <w:p>
      <w:r>
        <w:t>La procédure de plainte est gratuite (art. 20a al. 2 ch. 5 LP; 61 al. 2 let. a OELP) et il ne peut être alloué aucuns dépens dans cette procédure (art. 62 al. 2 OELP).</w:t>
      </w:r>
    </w:p>
    <w:p>
      <w:r>
        <w:t>* * * * *</w:t>
      </w:r>
    </w:p>
    <w:p>
      <w:r>
        <w:t>- 7/7 -</w:t>
      </w:r>
    </w:p>
    <w:p>
      <w:r>
        <w:t>A/590/2020-CS PAR CES MOTIFS, La Chambre de surveillance : A la forme : Déclare recevable la plainte formée le 12 février 2020 par A______ contre l'acte de défaut de biens délivré le 7 février 2020 dans la poursuite n° 1______ ainsi que contre les facture établies le 8 février 2020 dans la même poursuite. Au fond : La rejette. Siégeant : Monsieur Patrick CHENAUX, président; Madame Marilyn NAHMANI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