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DCSO/154/2011 vom 12. Mai 2011</w:t>
      </w:r>
    </w:p>
    <w:p>
      <w:r>
        <w:t>GE Cour de justice, 2011-05-12, FR</w:t>
      </w:r>
    </w:p>
    <w:p>
      <w:r>
        <w:rPr>
          <w:b/>
        </w:rPr>
        <w:t xml:space="preserve">Quelle: </w:t>
      </w:r>
      <w:r>
        <w:t>https://mcp.opencaselaw.ch/entscheid/ge_gerichte_DCSO_154_2011</w:t>
      </w:r>
    </w:p>
    <w:p>
      <w:r>
        <w:t>FR: GE_GERICHTE DCSO/154/2011 du 12 mai 2011</w:t>
      </w:r>
    </w:p>
    <w:p>
      <w:r>
        <w:t>IT: GE_GERICHTE DCSO/154/2011 del 12 maggio 2011</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Une plainte pour déni de justice ou retard injustifié peut être formée en tout temps (art. 17 al. 3 LP). En tant que poursuivante, la plaignante a qualité pour se plaindre d’un retard injustifié dans le traitement de ses réquisitions de continuer la poursuite.</w:t>
      </w:r>
    </w:p>
    <w:p>
      <w:r>
        <w:rPr>
          <w:b/>
        </w:rPr>
        <w:t>E. 2</w:t>
      </w:r>
    </w:p>
    <w:p>
      <w:r>
        <w:t>Déboute les parties de toutes autres conclusions.</w:t>
      </w:r>
    </w:p>
    <w:p>
      <w:r>
        <w:t>Siégeant : Monsieur Daniel DEVAUD, président; Madame Valérie CARERA et Monsieur Christian CHAVAZ, juges assesseur(e)s.</w:t>
      </w:r>
    </w:p>
    <w:p>
      <w:r>
        <w:t>Paulette DORMAN</w:t>
      </w:r>
    </w:p>
    <w:p>
      <w:r>
        <w:t>Daniel DEVAUD Greffière</w:t>
      </w:r>
    </w:p>
    <w:p>
      <w:r>
        <w:t>Président</w:t>
      </w:r>
    </w:p>
    <w:p>
      <w:r>
        <w:t>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r>
        <w:rPr>
          <w:b/>
        </w:rPr>
        <w:t>E. 2.1</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 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 dans le cas contraire, cela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Commentaire, ad art. 89 n° 40 ss ; Bénédict Foëx, Commentaire romand de la LP ad art. 89 n° 15 ss).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Commentaire, ad Remarques introductives aux art. 1-30 n° 3). .</w:t>
      </w:r>
    </w:p>
    <w:p>
      <w:r>
        <w:rPr>
          <w:b/>
        </w:rPr>
        <w:t>E. 2.2</w:t>
      </w:r>
    </w:p>
    <w:p>
      <w:r>
        <w:t>En l’espèce, il apparaît à l'évidence que l'Office n'a pas agi sans discontinuer suite au dépôt de cette réquisition de continuer la poursuite, aucun acte n'étant</w:t>
      </w:r>
    </w:p>
    <w:p>
      <w:r>
        <w:t>- 4/5 -</w:t>
      </w:r>
    </w:p>
    <w:p>
      <w:r>
        <w:t>A/665/2011-AS entrepris entre le 23 juin 2010 et l'interrogatoire de la débitrice en janvier 2011 et l'envoi de l'avis de saisie valant acte de défaut de biens le 9 mars 2011.</w:t>
      </w:r>
    </w:p>
    <w:p>
      <w:r>
        <w:t>Force est en conséquence de constater que l'Office a tardé, de manière injustifiée, dans le traitement de la réquisition de continuer la poursuite.</w:t>
      </w:r>
    </w:p>
    <w:p>
      <w:r>
        <w:t>* * * * *</w:t>
      </w:r>
    </w:p>
    <w:p>
      <w:r>
        <w:t>- 5/5 -</w:t>
      </w:r>
    </w:p>
    <w:p>
      <w:r>
        <w:t>A/665/2011-AS</w:t>
      </w:r>
    </w:p>
    <w:p>
      <w:r>
        <w:t>PAR CES MOTIFS, L'Autorité de surveillance :</w:t>
      </w:r>
    </w:p>
    <w:p>
      <w:r>
        <w:t>A la forme : Déclare recevable la plainte formée le 1er mars 2011 pour retard injustifié par I______ AG dans le cadre de la poursuite no 09 xxxx35 F. Au fond : 1. Constate que l’Office des poursuites a tardé de manière injustifiée à traiter la réquisition de continuer la poursuite no 09 xxxx35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