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DCSO/14/2021 vom 21. Januar 2021</w:t>
      </w:r>
    </w:p>
    <w:p>
      <w:r>
        <w:t>GE Cour de justice, 2021-01-21, FR</w:t>
      </w:r>
    </w:p>
    <w:p>
      <w:r>
        <w:rPr>
          <w:b/>
        </w:rPr>
        <w:t xml:space="preserve">Quelle: </w:t>
      </w:r>
      <w:r>
        <w:t>https://mcp.opencaselaw.ch/entscheid/ge_gerichte_DCSO_14_2021</w:t>
      </w:r>
    </w:p>
    <w:p>
      <w:r>
        <w:t>FR: GE_GERICHTE DCSO/14/2021 du 21 janvier 2021</w:t>
      </w:r>
    </w:p>
    <w:p>
      <w:r>
        <w:t>IT: GE_GERICHTE DCSO/14/2021 del 21 gennaio 2021</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sujettes à plainte, soit une décision relative à la fixation des sûretés en cas de séquestre.</w:t>
      </w:r>
    </w:p>
    <w:p>
      <w:r>
        <w:rPr>
          <w:b/>
        </w:rPr>
        <w:t>E. 2</w:t>
      </w:r>
    </w:p>
    <w:p>
      <w:r>
        <w:t>2.1.1 Le séquestre est exécuté par l'Office (art. 274 al. 1 LP), lequel applique par analogie les art. 91 à 109 LP relatifs à la saisie (art. 275 LP).</w:t>
      </w:r>
    </w:p>
    <w:p>
      <w:r>
        <w:t>2.1.2 L'art. 97 al. 2 LP prévoit que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2ème éd. 2014, n. 7 ad art. 275 LP).</w:t>
      </w:r>
    </w:p>
    <w:p>
      <w:r>
        <w:t>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w:t>
      </w:r>
    </w:p>
    <w:p>
      <w:r>
        <w:t>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consid. 4.b.aa; 73 III 133; GILLIERON, Commentaire de la loi fédérale sur la poursuite pour dettes et la faillite, Vol. IV, 2003, n. 95 ad art. 275 LP).</w:t>
      </w:r>
    </w:p>
    <w:p>
      <w:r>
        <w:t>2.1.3 Les biens séquestrés sont laissés à la libre disposition du débiteur à charge pour lui de les présenter en nature ou en valeur en cas de saisie ou de déclaration de faillite et de fournir à cet effet des sûretés. Celles-ci doivent être fournies par dépôt, par cautionnement solidaire ou par une autre sûreté équivalente (art. 277 LP).</w:t>
      </w:r>
    </w:p>
    <w:p>
      <w:r>
        <w:t>- 4/5 -</w:t>
      </w:r>
    </w:p>
    <w:p>
      <w:r>
        <w:t>A/3438/2020-CS</w:t>
      </w:r>
    </w:p>
    <w:p>
      <w:r>
        <w:t>Les sûretés de l'art. 277 LP sont destinées à prendre la place des avoirs mis sous- main de justice pour le cas où ils ne seraient pas représentés en nature ou en valeur dans le cadre de la poursuite par voie de saisie ou de faillite consécutive au séquestre; elles confèrent une protection supplémentaire au créancier séquestrant (ATF 116 III 35, consid. 3c p. 40).</w:t>
      </w:r>
    </w:p>
    <w:p>
      <w:r>
        <w:t>Le séquestre ne peut avoir pour effet le blocage d'avoirs pour un montant notablement supérieur à celui nécessaire à satisfaire le créancier séquestrant en capital, intérêts et frais, à peine d'abus de droit (cf. ATF 120 III 42 consid. 5a p. 47). Les sûretés ne sauraient donc être fixées à un montant plus élevé que celui de la créance et de ses accessoires, alors même que les actifs séquestrés seraient supérieurs à cette dernière (ATF 114 III 38 consid. 2 p. 39/40; ATF 116 III 35 consid. 5 p. 41).</w:t>
      </w:r>
    </w:p>
    <w:p>
      <w:r>
        <w:t>2.1.4 Les sûretés sont fournies à l'office des poursuites sous forme de sûretés personnelles ou réelles, à savoir par dépôt, par cautionnement solidaire (art. 496 CO) ou par une autre sûreté équivalente (art. 277 LP i.f.). Les sûretés réelles peuvent être fournies par le débiteur séquestré ou par un tiers, alors que les sûretés personnelles ne peuvent être fournies que par un tiers (STOFFEL/CHABLOZ, CR LP, n. 5 ad art. 277 LP; GILLIERON, op. cit., n. 23 ad art. 277).</w:t>
      </w:r>
    </w:p>
    <w:p>
      <w:r>
        <w:rPr>
          <w:b/>
        </w:rPr>
        <w:t>E. 2.2</w:t>
      </w:r>
    </w:p>
    <w:p>
      <w:r>
        <w:t>En l'espèce, la créance indiquée dans l'ordonnance de séquestre s'élève à 43'737 fr. 44 et ne porte pas d'intérêts, ceux-ci n'ayant pas été requis.</w:t>
      </w:r>
    </w:p>
    <w:p>
      <w:r>
        <w:t>Les sûretés admises par l'Office, en 54'120 fr. 65, dépassent ainsi d'environ 10'000 fr. le montant des prétentions invoquées dans le séquestre.</w:t>
      </w:r>
    </w:p>
    <w:p>
      <w:r>
        <w:t>La plaignante ne formule aucune critique à l'égard de ce montant, lequel apparaît au demeurant suffisant, étant observé que les frais de justice pour une procédure en mainlevée s'élèvent à Genève à 400 fr., lorsque la valeur litigieuse est inférieure à 50'000 fr., voire à 500 fr., si elle est inférieure à 100'000 fr.</w:t>
      </w:r>
    </w:p>
    <w:p>
      <w:r>
        <w:t>Le fait que les sûretés aient été versées par un tiers n'est pas non plus critiquable, la plaignante n'indiquant au demeurant pas en quoi ce procédé serait susceptible de lui porter préjudice. C'est donc à raison que l'Office a admis les sûretés et prononcé la décision entreprise.</w:t>
      </w:r>
    </w:p>
    <w:p>
      <w:r>
        <w:t>Mal fondée, la plainte sera ainsi rejetée.</w:t>
      </w:r>
    </w:p>
    <w:p>
      <w:r>
        <w:rPr>
          <w:b/>
        </w:rPr>
        <w:t>E. 3</w:t>
      </w:r>
    </w:p>
    <w:p>
      <w:r>
        <w:t>La procédure de plainte est gratuite (art. 20a al. 2 ch. 5 LP et art. 61 al. 2 let. a OELP) et il ne peut être alloué aucuns dépens dans cette procédure (art. 62 al. 2 OELP). * * * * *</w:t>
      </w:r>
    </w:p>
    <w:p>
      <w:r>
        <w:t>- 5/5 -</w:t>
      </w:r>
    </w:p>
    <w:p>
      <w:r>
        <w:t>A/3438/2020-CS PAR CES MOTIFS, La Chambre de surveillance : A la forme : Déclare recevable la plainte formée le 27 octobre 2020 par A______ SA contre la décision de l'Office cantonal des poursuites du 21 octobre 2020, séquestre n° 1______. Au fond : La rejette. Siégeant : Madame Verena PEDRAZZINI RIZZI, présidente; Madame Natalie OPPATJA et Monsieur Anthony HUGUENIN, juges assesseur(e)s;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